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8C72" w14:textId="77777777" w:rsidR="006C7B21" w:rsidRDefault="00D61FFF" w:rsidP="00CE6842">
      <w:pPr>
        <w:pStyle w:val="Title"/>
        <w:ind w:left="2160"/>
        <w:jc w:val="left"/>
      </w:pPr>
      <w:r>
        <w:t xml:space="preserve">NC </w:t>
      </w:r>
      <w:r w:rsidR="006C7B21">
        <w:t>OFFICE OF THE STATE CONTROLLER</w:t>
      </w:r>
    </w:p>
    <w:p w14:paraId="2CDFC543" w14:textId="7C92A519" w:rsidR="006C7B21" w:rsidRDefault="00A05792">
      <w:pPr>
        <w:spacing w:line="240" w:lineRule="exact"/>
        <w:jc w:val="center"/>
        <w:rPr>
          <w:b/>
          <w:sz w:val="24"/>
        </w:rPr>
      </w:pPr>
      <w:r>
        <w:rPr>
          <w:b/>
          <w:sz w:val="24"/>
        </w:rPr>
        <w:t>20</w:t>
      </w:r>
      <w:r w:rsidR="00385B0E">
        <w:rPr>
          <w:b/>
          <w:sz w:val="24"/>
        </w:rPr>
        <w:t>2</w:t>
      </w:r>
      <w:r w:rsidR="00A6734B">
        <w:rPr>
          <w:b/>
          <w:sz w:val="24"/>
        </w:rPr>
        <w:t>2 ANNUAL</w:t>
      </w:r>
      <w:r w:rsidR="006C7B21">
        <w:rPr>
          <w:b/>
          <w:sz w:val="24"/>
        </w:rPr>
        <w:t xml:space="preserve"> </w:t>
      </w:r>
      <w:r w:rsidR="00165172">
        <w:rPr>
          <w:b/>
          <w:sz w:val="24"/>
        </w:rPr>
        <w:t>COMPREHENSIVE FINANCIAL REPORT (</w:t>
      </w:r>
      <w:r w:rsidR="00A6734B">
        <w:rPr>
          <w:b/>
          <w:sz w:val="24"/>
        </w:rPr>
        <w:t>ACFR</w:t>
      </w:r>
      <w:r w:rsidR="00165172">
        <w:rPr>
          <w:b/>
          <w:sz w:val="24"/>
        </w:rPr>
        <w:t>)</w:t>
      </w:r>
      <w:r w:rsidR="006C7B21">
        <w:rPr>
          <w:b/>
          <w:sz w:val="24"/>
        </w:rPr>
        <w:t xml:space="preserve"> PACKAGE INSTRUCTIONS</w:t>
      </w:r>
    </w:p>
    <w:p w14:paraId="1F9F58A2" w14:textId="77777777" w:rsidR="006C7B21" w:rsidRDefault="006C7B21">
      <w:pPr>
        <w:pStyle w:val="Heading1"/>
        <w:rPr>
          <w:sz w:val="24"/>
        </w:rPr>
      </w:pPr>
      <w:r>
        <w:t xml:space="preserve"> </w:t>
      </w:r>
      <w:r>
        <w:rPr>
          <w:sz w:val="24"/>
        </w:rPr>
        <w:t>FOR COMMUNITY COLLEGES</w:t>
      </w:r>
    </w:p>
    <w:p w14:paraId="3F1808A8" w14:textId="77777777" w:rsidR="006C7B21" w:rsidRDefault="006C7B21">
      <w:pPr>
        <w:rPr>
          <w:sz w:val="24"/>
        </w:rPr>
      </w:pPr>
    </w:p>
    <w:p w14:paraId="1810EBA7" w14:textId="1F9CEEE8" w:rsidR="006C7B21" w:rsidRDefault="00AF6A0D" w:rsidP="003D7504">
      <w:pPr>
        <w:numPr>
          <w:ilvl w:val="0"/>
          <w:numId w:val="2"/>
        </w:numPr>
        <w:rPr>
          <w:b/>
          <w:sz w:val="24"/>
        </w:rPr>
      </w:pPr>
      <w:r>
        <w:rPr>
          <w:sz w:val="24"/>
        </w:rPr>
        <w:t xml:space="preserve">To begin, </w:t>
      </w:r>
      <w:r w:rsidR="00C7569C">
        <w:rPr>
          <w:sz w:val="24"/>
        </w:rPr>
        <w:t>select</w:t>
      </w:r>
      <w:r>
        <w:rPr>
          <w:sz w:val="24"/>
        </w:rPr>
        <w:t xml:space="preserve"> your college n</w:t>
      </w:r>
      <w:r w:rsidR="000B3C0A">
        <w:rPr>
          <w:sz w:val="24"/>
        </w:rPr>
        <w:t xml:space="preserve">ame from the </w:t>
      </w:r>
      <w:r w:rsidR="007C26BF">
        <w:rPr>
          <w:sz w:val="24"/>
        </w:rPr>
        <w:t>drop-down</w:t>
      </w:r>
      <w:r w:rsidR="000B3C0A">
        <w:rPr>
          <w:sz w:val="24"/>
        </w:rPr>
        <w:t xml:space="preserve"> box</w:t>
      </w:r>
      <w:r>
        <w:rPr>
          <w:sz w:val="24"/>
        </w:rPr>
        <w:t xml:space="preserve"> </w:t>
      </w:r>
      <w:r w:rsidR="000074C0">
        <w:rPr>
          <w:sz w:val="24"/>
        </w:rPr>
        <w:t xml:space="preserve">and </w:t>
      </w:r>
      <w:r w:rsidR="00C7569C">
        <w:rPr>
          <w:sz w:val="24"/>
        </w:rPr>
        <w:t>enter</w:t>
      </w:r>
      <w:r w:rsidR="000074C0">
        <w:rPr>
          <w:sz w:val="24"/>
        </w:rPr>
        <w:t xml:space="preserve"> header information </w:t>
      </w:r>
      <w:r>
        <w:rPr>
          <w:sz w:val="24"/>
        </w:rPr>
        <w:t xml:space="preserve">on the Index page of the </w:t>
      </w:r>
      <w:r w:rsidR="004C667D">
        <w:rPr>
          <w:sz w:val="24"/>
          <w:u w:val="single"/>
        </w:rPr>
        <w:t>20</w:t>
      </w:r>
      <w:r w:rsidR="00385B0E">
        <w:rPr>
          <w:sz w:val="24"/>
          <w:u w:val="single"/>
        </w:rPr>
        <w:t>2</w:t>
      </w:r>
      <w:r w:rsidR="00A85B72">
        <w:rPr>
          <w:sz w:val="24"/>
          <w:u w:val="single"/>
        </w:rPr>
        <w:t>2</w:t>
      </w:r>
      <w:r w:rsidR="004C667D">
        <w:rPr>
          <w:sz w:val="24"/>
          <w:u w:val="single"/>
        </w:rPr>
        <w:t xml:space="preserve"> Comm_Coll_Year-End </w:t>
      </w:r>
      <w:r w:rsidR="003B2F6D">
        <w:rPr>
          <w:sz w:val="24"/>
          <w:u w:val="single"/>
        </w:rPr>
        <w:t>ACFR</w:t>
      </w:r>
      <w:r w:rsidR="004C667D">
        <w:rPr>
          <w:sz w:val="24"/>
          <w:u w:val="single"/>
        </w:rPr>
        <w:t xml:space="preserve"> Package</w:t>
      </w:r>
      <w:r w:rsidRPr="00EB3758">
        <w:rPr>
          <w:sz w:val="24"/>
        </w:rPr>
        <w:t xml:space="preserve"> </w:t>
      </w:r>
      <w:r w:rsidR="000074C0" w:rsidRPr="00EB3758">
        <w:rPr>
          <w:sz w:val="24"/>
        </w:rPr>
        <w:t>Excel workbook</w:t>
      </w:r>
      <w:r>
        <w:rPr>
          <w:sz w:val="24"/>
        </w:rPr>
        <w:t xml:space="preserve">. </w:t>
      </w:r>
      <w:r w:rsidR="000074C0">
        <w:rPr>
          <w:sz w:val="24"/>
        </w:rPr>
        <w:t>The header information will be carried to each worksheet and certain</w:t>
      </w:r>
      <w:r>
        <w:rPr>
          <w:sz w:val="24"/>
        </w:rPr>
        <w:t xml:space="preserve"> cells in the file will be </w:t>
      </w:r>
      <w:r w:rsidR="000074C0">
        <w:rPr>
          <w:sz w:val="24"/>
        </w:rPr>
        <w:t>populated</w:t>
      </w:r>
      <w:r>
        <w:rPr>
          <w:sz w:val="24"/>
        </w:rPr>
        <w:t xml:space="preserve"> when the correct college n</w:t>
      </w:r>
      <w:r w:rsidR="000B3C0A">
        <w:rPr>
          <w:sz w:val="24"/>
        </w:rPr>
        <w:t>ame</w:t>
      </w:r>
      <w:r>
        <w:rPr>
          <w:sz w:val="24"/>
        </w:rPr>
        <w:t xml:space="preserve"> is </w:t>
      </w:r>
      <w:r w:rsidR="003D7504">
        <w:rPr>
          <w:sz w:val="24"/>
        </w:rPr>
        <w:t>select</w:t>
      </w:r>
      <w:r>
        <w:rPr>
          <w:sz w:val="24"/>
        </w:rPr>
        <w:t xml:space="preserve">ed.   </w:t>
      </w:r>
      <w:r w:rsidR="006C7B21">
        <w:rPr>
          <w:sz w:val="24"/>
        </w:rPr>
        <w:t>Enter your financial statement data for Exhibits A &amp; B</w:t>
      </w:r>
      <w:r w:rsidR="000074C0">
        <w:rPr>
          <w:sz w:val="24"/>
        </w:rPr>
        <w:t>.</w:t>
      </w:r>
      <w:r w:rsidR="006C7B21">
        <w:rPr>
          <w:sz w:val="24"/>
        </w:rPr>
        <w:t xml:space="preserve"> </w:t>
      </w:r>
      <w:r w:rsidR="000074C0">
        <w:rPr>
          <w:sz w:val="24"/>
        </w:rPr>
        <w:t>The capital assets worksheet and long-term liabilities worksheet must be completed first and the summary amounts from these worksheets will be linked in to Exhibit</w:t>
      </w:r>
      <w:r w:rsidR="00EB3758">
        <w:rPr>
          <w:sz w:val="24"/>
        </w:rPr>
        <w:t xml:space="preserve"> A</w:t>
      </w:r>
      <w:r w:rsidR="000074C0">
        <w:rPr>
          <w:sz w:val="24"/>
        </w:rPr>
        <w:t xml:space="preserve">. </w:t>
      </w:r>
    </w:p>
    <w:p w14:paraId="5C2D183E" w14:textId="77777777" w:rsidR="005042C7" w:rsidRDefault="006C7B21" w:rsidP="005042C7">
      <w:pPr>
        <w:numPr>
          <w:ilvl w:val="0"/>
          <w:numId w:val="2"/>
        </w:numPr>
        <w:rPr>
          <w:sz w:val="24"/>
        </w:rPr>
      </w:pPr>
      <w:r w:rsidRPr="005042C7">
        <w:rPr>
          <w:sz w:val="24"/>
        </w:rPr>
        <w:t xml:space="preserve">See the page below for instructions for the Capital Assets worksheet. Instructions for the Long-term Liabilities worksheet are included on the bottom of the worksheet.  </w:t>
      </w:r>
    </w:p>
    <w:p w14:paraId="4907F3AA" w14:textId="16DBB0A6" w:rsidR="006C7B21" w:rsidRPr="00A85B72" w:rsidRDefault="006C7B21" w:rsidP="00A85B72">
      <w:pPr>
        <w:numPr>
          <w:ilvl w:val="0"/>
          <w:numId w:val="2"/>
        </w:numPr>
        <w:rPr>
          <w:sz w:val="24"/>
        </w:rPr>
      </w:pPr>
      <w:r w:rsidRPr="005042C7">
        <w:rPr>
          <w:sz w:val="24"/>
        </w:rPr>
        <w:t xml:space="preserve">The </w:t>
      </w:r>
      <w:r w:rsidR="005042C7">
        <w:rPr>
          <w:sz w:val="24"/>
        </w:rPr>
        <w:t>Analytical Review</w:t>
      </w:r>
      <w:r w:rsidR="0046530B">
        <w:rPr>
          <w:sz w:val="24"/>
        </w:rPr>
        <w:t>/</w:t>
      </w:r>
      <w:r w:rsidR="007C26BF">
        <w:rPr>
          <w:sz w:val="24"/>
        </w:rPr>
        <w:t>Two-year</w:t>
      </w:r>
      <w:r w:rsidR="0046530B">
        <w:rPr>
          <w:sz w:val="24"/>
        </w:rPr>
        <w:t xml:space="preserve"> comparative</w:t>
      </w:r>
      <w:r w:rsidRPr="005042C7">
        <w:rPr>
          <w:sz w:val="24"/>
        </w:rPr>
        <w:t xml:space="preserve"> worksheet </w:t>
      </w:r>
      <w:r w:rsidR="0046530B">
        <w:rPr>
          <w:sz w:val="24"/>
        </w:rPr>
        <w:t xml:space="preserve">to compute variances </w:t>
      </w:r>
      <w:r w:rsidRPr="005042C7">
        <w:rPr>
          <w:sz w:val="24"/>
        </w:rPr>
        <w:t xml:space="preserve">is built in to the </w:t>
      </w:r>
      <w:r w:rsidR="004C667D">
        <w:rPr>
          <w:sz w:val="24"/>
          <w:u w:val="single"/>
        </w:rPr>
        <w:t>20</w:t>
      </w:r>
      <w:r w:rsidR="009B545A">
        <w:rPr>
          <w:sz w:val="24"/>
          <w:u w:val="single"/>
        </w:rPr>
        <w:t>2</w:t>
      </w:r>
      <w:r w:rsidR="00A85B72">
        <w:rPr>
          <w:sz w:val="24"/>
          <w:u w:val="single"/>
        </w:rPr>
        <w:t>2</w:t>
      </w:r>
      <w:r w:rsidR="004C667D" w:rsidRPr="00A85B72">
        <w:rPr>
          <w:sz w:val="24"/>
          <w:u w:val="single"/>
        </w:rPr>
        <w:t xml:space="preserve"> Comm_Coll_Year-End </w:t>
      </w:r>
      <w:r w:rsidR="003B2F6D">
        <w:rPr>
          <w:sz w:val="24"/>
          <w:u w:val="single"/>
        </w:rPr>
        <w:t>ACFR</w:t>
      </w:r>
      <w:r w:rsidR="00011777" w:rsidRPr="00A85B72">
        <w:rPr>
          <w:sz w:val="24"/>
          <w:u w:val="single"/>
        </w:rPr>
        <w:t xml:space="preserve"> </w:t>
      </w:r>
      <w:r w:rsidR="004C667D" w:rsidRPr="00A85B72">
        <w:rPr>
          <w:sz w:val="24"/>
          <w:u w:val="single"/>
        </w:rPr>
        <w:t>Package</w:t>
      </w:r>
      <w:r w:rsidRPr="00A85B72">
        <w:rPr>
          <w:sz w:val="24"/>
        </w:rPr>
        <w:t xml:space="preserve"> file. As you enter the financial data for </w:t>
      </w:r>
      <w:r w:rsidR="003F6902" w:rsidRPr="00A85B72">
        <w:rPr>
          <w:sz w:val="24"/>
        </w:rPr>
        <w:t>20</w:t>
      </w:r>
      <w:r w:rsidR="009B545A" w:rsidRPr="00A85B72">
        <w:rPr>
          <w:sz w:val="24"/>
        </w:rPr>
        <w:t>2</w:t>
      </w:r>
      <w:r w:rsidR="00A85B72">
        <w:rPr>
          <w:sz w:val="24"/>
        </w:rPr>
        <w:t>2</w:t>
      </w:r>
      <w:r w:rsidRPr="00A85B72">
        <w:rPr>
          <w:sz w:val="24"/>
        </w:rPr>
        <w:t xml:space="preserve"> for Exhibits A and B, the caption totals will link in to the </w:t>
      </w:r>
      <w:r w:rsidR="003F6902" w:rsidRPr="00A85B72">
        <w:rPr>
          <w:sz w:val="24"/>
        </w:rPr>
        <w:t>20</w:t>
      </w:r>
      <w:r w:rsidR="009B545A" w:rsidRPr="00A85B72">
        <w:rPr>
          <w:sz w:val="24"/>
        </w:rPr>
        <w:t>2</w:t>
      </w:r>
      <w:r w:rsidR="00A85B72">
        <w:rPr>
          <w:sz w:val="24"/>
        </w:rPr>
        <w:t>2</w:t>
      </w:r>
      <w:r w:rsidRPr="00A85B72">
        <w:rPr>
          <w:sz w:val="24"/>
        </w:rPr>
        <w:t xml:space="preserve"> column on the </w:t>
      </w:r>
      <w:r w:rsidR="005042C7" w:rsidRPr="00A85B72">
        <w:rPr>
          <w:sz w:val="24"/>
        </w:rPr>
        <w:t>Analytical Review</w:t>
      </w:r>
      <w:r w:rsidRPr="00A85B72">
        <w:rPr>
          <w:sz w:val="24"/>
        </w:rPr>
        <w:t xml:space="preserve"> worksheet. </w:t>
      </w:r>
      <w:r w:rsidR="00DA01C4" w:rsidRPr="00A85B72">
        <w:rPr>
          <w:sz w:val="24"/>
        </w:rPr>
        <w:t xml:space="preserve">The financial data from </w:t>
      </w:r>
      <w:r w:rsidR="003F6902" w:rsidRPr="00A85B72">
        <w:rPr>
          <w:sz w:val="24"/>
        </w:rPr>
        <w:t>20</w:t>
      </w:r>
      <w:r w:rsidR="007A04D5" w:rsidRPr="00A85B72">
        <w:rPr>
          <w:sz w:val="24"/>
        </w:rPr>
        <w:t>2</w:t>
      </w:r>
      <w:r w:rsidR="00A85B72">
        <w:rPr>
          <w:sz w:val="24"/>
        </w:rPr>
        <w:t>1</w:t>
      </w:r>
      <w:r w:rsidR="00DA01C4" w:rsidRPr="00A85B72">
        <w:rPr>
          <w:sz w:val="24"/>
        </w:rPr>
        <w:t xml:space="preserve"> will also link into the Analytical Review worksheet.</w:t>
      </w:r>
      <w:r w:rsidRPr="00A85B72">
        <w:rPr>
          <w:sz w:val="24"/>
        </w:rPr>
        <w:t xml:space="preserve"> </w:t>
      </w:r>
      <w:r w:rsidR="005042C7" w:rsidRPr="00A85B72">
        <w:rPr>
          <w:sz w:val="24"/>
        </w:rPr>
        <w:t>The</w:t>
      </w:r>
      <w:r w:rsidRPr="00A85B72">
        <w:rPr>
          <w:sz w:val="24"/>
        </w:rPr>
        <w:t xml:space="preserve"> formulas built into the worksheet will compute differences, and based on the established criteria, indicate by a “C” which differences need to be explained. Those captions and totals i</w:t>
      </w:r>
      <w:r w:rsidR="00BC467D" w:rsidRPr="00A85B72">
        <w:rPr>
          <w:sz w:val="24"/>
        </w:rPr>
        <w:t xml:space="preserve">dentified for comment will need to be entered on </w:t>
      </w:r>
      <w:r w:rsidRPr="00A85B72">
        <w:rPr>
          <w:sz w:val="24"/>
        </w:rPr>
        <w:t xml:space="preserve">worksheet </w:t>
      </w:r>
      <w:r w:rsidR="005042C7" w:rsidRPr="00A85B72">
        <w:rPr>
          <w:sz w:val="24"/>
        </w:rPr>
        <w:t>625 for Analytical Review.</w:t>
      </w:r>
      <w:r w:rsidRPr="00A85B72">
        <w:rPr>
          <w:sz w:val="24"/>
        </w:rPr>
        <w:t xml:space="preserve"> Your explanations for the identified items should include reasons for the changes. Please refer to the additional set of </w:t>
      </w:r>
      <w:r w:rsidR="005042C7" w:rsidRPr="00A85B72">
        <w:rPr>
          <w:sz w:val="24"/>
        </w:rPr>
        <w:t>Analytical Review</w:t>
      </w:r>
      <w:r w:rsidRPr="00A85B72">
        <w:rPr>
          <w:sz w:val="24"/>
        </w:rPr>
        <w:t xml:space="preserve"> </w:t>
      </w:r>
      <w:r w:rsidR="0046530B" w:rsidRPr="00A85B72">
        <w:rPr>
          <w:sz w:val="24"/>
        </w:rPr>
        <w:t xml:space="preserve">worksheet 625 </w:t>
      </w:r>
      <w:r w:rsidRPr="00A85B72">
        <w:rPr>
          <w:sz w:val="24"/>
        </w:rPr>
        <w:t>instructions below for more information.</w:t>
      </w:r>
    </w:p>
    <w:p w14:paraId="511BA53C" w14:textId="64351AD6" w:rsidR="006C7B21" w:rsidRDefault="006C7B21" w:rsidP="00DE77D8">
      <w:pPr>
        <w:numPr>
          <w:ilvl w:val="0"/>
          <w:numId w:val="2"/>
        </w:numPr>
        <w:rPr>
          <w:sz w:val="24"/>
        </w:rPr>
      </w:pPr>
      <w:r>
        <w:rPr>
          <w:sz w:val="24"/>
        </w:rPr>
        <w:t xml:space="preserve">Beginning </w:t>
      </w:r>
      <w:r w:rsidR="00A801FE">
        <w:rPr>
          <w:sz w:val="24"/>
        </w:rPr>
        <w:t>fund equity</w:t>
      </w:r>
      <w:r>
        <w:rPr>
          <w:sz w:val="24"/>
        </w:rPr>
        <w:t xml:space="preserve"> on Exhibit B </w:t>
      </w:r>
      <w:r>
        <w:rPr>
          <w:sz w:val="24"/>
          <w:u w:val="single"/>
        </w:rPr>
        <w:t>must</w:t>
      </w:r>
      <w:r>
        <w:rPr>
          <w:sz w:val="24"/>
        </w:rPr>
        <w:t xml:space="preserve"> tie to the total ending </w:t>
      </w:r>
      <w:r w:rsidR="00A801FE">
        <w:rPr>
          <w:sz w:val="24"/>
        </w:rPr>
        <w:t>fund equity</w:t>
      </w:r>
      <w:r>
        <w:rPr>
          <w:sz w:val="24"/>
        </w:rPr>
        <w:t xml:space="preserve"> for your college per the </w:t>
      </w:r>
      <w:r w:rsidR="003F6902">
        <w:rPr>
          <w:sz w:val="24"/>
        </w:rPr>
        <w:t>20</w:t>
      </w:r>
      <w:r w:rsidR="00622734">
        <w:rPr>
          <w:sz w:val="24"/>
        </w:rPr>
        <w:t>2</w:t>
      </w:r>
      <w:r w:rsidR="00A85B72">
        <w:rPr>
          <w:sz w:val="24"/>
        </w:rPr>
        <w:t>1</w:t>
      </w:r>
      <w:r>
        <w:rPr>
          <w:sz w:val="24"/>
        </w:rPr>
        <w:t xml:space="preserve"> </w:t>
      </w:r>
      <w:r w:rsidR="00AD07A7">
        <w:rPr>
          <w:sz w:val="24"/>
        </w:rPr>
        <w:t>ACFR</w:t>
      </w:r>
      <w:r>
        <w:rPr>
          <w:sz w:val="24"/>
        </w:rPr>
        <w:t>. The 6/30</w:t>
      </w:r>
      <w:r w:rsidR="009A7042">
        <w:rPr>
          <w:sz w:val="24"/>
        </w:rPr>
        <w:t>/</w:t>
      </w:r>
      <w:r w:rsidR="00622734">
        <w:rPr>
          <w:sz w:val="24"/>
        </w:rPr>
        <w:t>2</w:t>
      </w:r>
      <w:r w:rsidR="00A85B72">
        <w:rPr>
          <w:sz w:val="24"/>
        </w:rPr>
        <w:t>1</w:t>
      </w:r>
      <w:r>
        <w:rPr>
          <w:sz w:val="24"/>
        </w:rPr>
        <w:t xml:space="preserve"> ending fund equity amounts for each college per the </w:t>
      </w:r>
      <w:r w:rsidR="00AD07A7">
        <w:rPr>
          <w:sz w:val="24"/>
        </w:rPr>
        <w:t>ACFR</w:t>
      </w:r>
      <w:r>
        <w:rPr>
          <w:sz w:val="24"/>
        </w:rPr>
        <w:t xml:space="preserve"> are built into a table in the </w:t>
      </w:r>
      <w:r w:rsidR="004C667D">
        <w:rPr>
          <w:sz w:val="24"/>
          <w:u w:val="single"/>
        </w:rPr>
        <w:t>20</w:t>
      </w:r>
      <w:r w:rsidR="00C723C8">
        <w:rPr>
          <w:sz w:val="24"/>
          <w:u w:val="single"/>
        </w:rPr>
        <w:t>2</w:t>
      </w:r>
      <w:r w:rsidR="00A85B72">
        <w:rPr>
          <w:sz w:val="24"/>
          <w:u w:val="single"/>
        </w:rPr>
        <w:t>2</w:t>
      </w:r>
      <w:r w:rsidR="004C667D">
        <w:rPr>
          <w:sz w:val="24"/>
          <w:u w:val="single"/>
        </w:rPr>
        <w:t xml:space="preserve"> Comm_Coll_Year-End </w:t>
      </w:r>
      <w:r w:rsidR="003B2F6D">
        <w:rPr>
          <w:sz w:val="24"/>
          <w:u w:val="single"/>
        </w:rPr>
        <w:t>ACFR</w:t>
      </w:r>
      <w:r w:rsidR="004C667D">
        <w:rPr>
          <w:sz w:val="24"/>
          <w:u w:val="single"/>
        </w:rPr>
        <w:t xml:space="preserve"> Package</w:t>
      </w:r>
      <w:r>
        <w:rPr>
          <w:sz w:val="24"/>
        </w:rPr>
        <w:t xml:space="preserve"> file.  The ending fund equity amount for your college will link in to the “Net </w:t>
      </w:r>
      <w:r w:rsidR="00A801FE">
        <w:rPr>
          <w:sz w:val="24"/>
        </w:rPr>
        <w:t>position</w:t>
      </w:r>
      <w:r>
        <w:rPr>
          <w:sz w:val="24"/>
        </w:rPr>
        <w:t xml:space="preserve"> – beginning of year” cell when you </w:t>
      </w:r>
      <w:r w:rsidR="000B3C0A">
        <w:rPr>
          <w:sz w:val="24"/>
        </w:rPr>
        <w:t>select</w:t>
      </w:r>
      <w:r>
        <w:rPr>
          <w:sz w:val="24"/>
        </w:rPr>
        <w:t xml:space="preserve"> your college n</w:t>
      </w:r>
      <w:r w:rsidR="000B3C0A">
        <w:rPr>
          <w:sz w:val="24"/>
        </w:rPr>
        <w:t>ame</w:t>
      </w:r>
      <w:r>
        <w:rPr>
          <w:sz w:val="24"/>
        </w:rPr>
        <w:t xml:space="preserve"> on the </w:t>
      </w:r>
      <w:r>
        <w:rPr>
          <w:sz w:val="24"/>
          <w:u w:val="single"/>
        </w:rPr>
        <w:t>Index</w:t>
      </w:r>
      <w:r>
        <w:rPr>
          <w:sz w:val="24"/>
        </w:rPr>
        <w:t xml:space="preserve"> worksheet.  Any fund equity changes must be reflected in the Restatement line on Exhibit B.  The college’s package will not be accepted by OSC if submitted with the beginning fund </w:t>
      </w:r>
      <w:r w:rsidR="003F6902">
        <w:rPr>
          <w:sz w:val="24"/>
        </w:rPr>
        <w:t>e</w:t>
      </w:r>
      <w:r>
        <w:rPr>
          <w:sz w:val="24"/>
        </w:rPr>
        <w:t xml:space="preserve">quity not agreeing to the prior year ending per the </w:t>
      </w:r>
      <w:r w:rsidR="00AD07A7">
        <w:rPr>
          <w:sz w:val="24"/>
        </w:rPr>
        <w:t>ACFR</w:t>
      </w:r>
      <w:r>
        <w:rPr>
          <w:sz w:val="24"/>
        </w:rPr>
        <w:t>.</w:t>
      </w:r>
    </w:p>
    <w:p w14:paraId="2C9EDEE4" w14:textId="31E60EC6" w:rsidR="006C7B21" w:rsidRDefault="006C7B21">
      <w:pPr>
        <w:numPr>
          <w:ilvl w:val="0"/>
          <w:numId w:val="2"/>
        </w:numPr>
        <w:rPr>
          <w:sz w:val="24"/>
        </w:rPr>
      </w:pPr>
      <w:r>
        <w:rPr>
          <w:sz w:val="24"/>
        </w:rPr>
        <w:t xml:space="preserve">Colleges must strictly adhere to the established materiality threshold and specific exceptions for amounts due from/to primary government and due from/to component units.  Note the threshold amount of </w:t>
      </w:r>
      <w:r w:rsidR="00504224">
        <w:rPr>
          <w:sz w:val="24"/>
        </w:rPr>
        <w:t>one</w:t>
      </w:r>
      <w:r>
        <w:rPr>
          <w:sz w:val="24"/>
        </w:rPr>
        <w:t xml:space="preserve"> million dollars. The college’s package will not be accepted by OSC if the threshold and specific guidelines are not followed.  Amounts not meeting the established criteria should be reclassified as accounts receivable/payable for </w:t>
      </w:r>
      <w:r w:rsidR="00E301BE">
        <w:rPr>
          <w:sz w:val="24"/>
        </w:rPr>
        <w:t>ACFR</w:t>
      </w:r>
      <w:r>
        <w:rPr>
          <w:sz w:val="24"/>
        </w:rPr>
        <w:t xml:space="preserve"> reporting.  When the information becomes available from the System Office, the amount due from the System Office for construction projects will be linked into the Exhibit A cell “Restricted due from Primary Government.”  Colleges must confer and agree with the System Office on these amounts before the package is submitted to OSC.  </w:t>
      </w:r>
    </w:p>
    <w:p w14:paraId="65D9A07A" w14:textId="0F976203" w:rsidR="006C7B21" w:rsidRDefault="006C7B21">
      <w:pPr>
        <w:numPr>
          <w:ilvl w:val="0"/>
          <w:numId w:val="2"/>
        </w:numPr>
        <w:ind w:right="-93"/>
        <w:rPr>
          <w:sz w:val="24"/>
        </w:rPr>
      </w:pPr>
      <w:r>
        <w:rPr>
          <w:sz w:val="24"/>
        </w:rPr>
        <w:t>Refer to the</w:t>
      </w:r>
      <w:r w:rsidR="00437E4F">
        <w:rPr>
          <w:sz w:val="24"/>
        </w:rPr>
        <w:t xml:space="preserve"> Community College list</w:t>
      </w:r>
      <w:r>
        <w:rPr>
          <w:sz w:val="24"/>
        </w:rPr>
        <w:t xml:space="preserve"> </w:t>
      </w:r>
      <w:r w:rsidR="00437E4F">
        <w:rPr>
          <w:sz w:val="24"/>
        </w:rPr>
        <w:t>below</w:t>
      </w:r>
      <w:r>
        <w:rPr>
          <w:sz w:val="24"/>
        </w:rPr>
        <w:t xml:space="preserve"> to determine the </w:t>
      </w:r>
      <w:r w:rsidR="000C40DB">
        <w:rPr>
          <w:sz w:val="24"/>
        </w:rPr>
        <w:t>ACFR</w:t>
      </w:r>
      <w:r>
        <w:rPr>
          <w:sz w:val="24"/>
        </w:rPr>
        <w:t xml:space="preserve"> filename for your college.  Please save your Excel </w:t>
      </w:r>
      <w:r w:rsidR="004C667D">
        <w:rPr>
          <w:sz w:val="24"/>
          <w:u w:val="single"/>
        </w:rPr>
        <w:t>20</w:t>
      </w:r>
      <w:r w:rsidR="003866C2">
        <w:rPr>
          <w:sz w:val="24"/>
          <w:u w:val="single"/>
        </w:rPr>
        <w:t>2</w:t>
      </w:r>
      <w:r w:rsidR="00A85B72">
        <w:rPr>
          <w:sz w:val="24"/>
          <w:u w:val="single"/>
        </w:rPr>
        <w:t>2</w:t>
      </w:r>
      <w:r w:rsidR="004C667D">
        <w:rPr>
          <w:sz w:val="24"/>
          <w:u w:val="single"/>
        </w:rPr>
        <w:t xml:space="preserve"> Comm_Coll_Year-End </w:t>
      </w:r>
      <w:r w:rsidR="003B2F6D">
        <w:rPr>
          <w:sz w:val="24"/>
          <w:u w:val="single"/>
        </w:rPr>
        <w:t xml:space="preserve">ACFR </w:t>
      </w:r>
      <w:r w:rsidR="004C667D">
        <w:rPr>
          <w:sz w:val="24"/>
          <w:u w:val="single"/>
        </w:rPr>
        <w:t>Package</w:t>
      </w:r>
      <w:r w:rsidR="00975C11">
        <w:rPr>
          <w:sz w:val="24"/>
        </w:rPr>
        <w:t xml:space="preserve"> file as the</w:t>
      </w:r>
      <w:r>
        <w:rPr>
          <w:sz w:val="24"/>
        </w:rPr>
        <w:t xml:space="preserve"> assigned </w:t>
      </w:r>
      <w:r w:rsidR="0091217F">
        <w:rPr>
          <w:sz w:val="24"/>
        </w:rPr>
        <w:t>ACFR</w:t>
      </w:r>
      <w:r>
        <w:rPr>
          <w:sz w:val="24"/>
        </w:rPr>
        <w:t xml:space="preserve"> filename</w:t>
      </w:r>
      <w:r w:rsidR="00975C11">
        <w:rPr>
          <w:sz w:val="24"/>
        </w:rPr>
        <w:t xml:space="preserve">. </w:t>
      </w:r>
      <w:r w:rsidR="0036299C" w:rsidRPr="00652638">
        <w:rPr>
          <w:b/>
          <w:bCs/>
          <w:color w:val="FF0000"/>
          <w:sz w:val="24"/>
        </w:rPr>
        <w:t xml:space="preserve">Please </w:t>
      </w:r>
      <w:r w:rsidR="00AB6C26">
        <w:rPr>
          <w:b/>
          <w:bCs/>
          <w:color w:val="FF0000"/>
          <w:sz w:val="24"/>
        </w:rPr>
        <w:t xml:space="preserve">save the file </w:t>
      </w:r>
      <w:r w:rsidR="0036299C" w:rsidRPr="00652638">
        <w:rPr>
          <w:b/>
          <w:bCs/>
          <w:color w:val="FF0000"/>
          <w:sz w:val="24"/>
        </w:rPr>
        <w:t>us</w:t>
      </w:r>
      <w:r w:rsidR="00AB6C26">
        <w:rPr>
          <w:b/>
          <w:bCs/>
          <w:color w:val="FF0000"/>
          <w:sz w:val="24"/>
        </w:rPr>
        <w:t>ing</w:t>
      </w:r>
      <w:r w:rsidR="0036299C" w:rsidRPr="00652638">
        <w:rPr>
          <w:b/>
          <w:bCs/>
          <w:color w:val="FF0000"/>
          <w:sz w:val="24"/>
        </w:rPr>
        <w:t xml:space="preserve"> </w:t>
      </w:r>
      <w:r w:rsidR="00AB6C26">
        <w:rPr>
          <w:b/>
          <w:bCs/>
          <w:color w:val="FF0000"/>
          <w:sz w:val="24"/>
        </w:rPr>
        <w:t xml:space="preserve">Excel </w:t>
      </w:r>
      <w:r w:rsidR="0036299C" w:rsidRPr="00652638">
        <w:rPr>
          <w:b/>
          <w:bCs/>
          <w:color w:val="FF0000"/>
          <w:sz w:val="24"/>
        </w:rPr>
        <w:t>“</w:t>
      </w:r>
      <w:r w:rsidR="00AB6C26">
        <w:rPr>
          <w:b/>
          <w:bCs/>
          <w:color w:val="FF0000"/>
          <w:sz w:val="24"/>
        </w:rPr>
        <w:t>.</w:t>
      </w:r>
      <w:r w:rsidR="0036299C" w:rsidRPr="00652638">
        <w:rPr>
          <w:b/>
          <w:bCs/>
          <w:color w:val="FF0000"/>
          <w:sz w:val="24"/>
        </w:rPr>
        <w:t>xlsx” format.</w:t>
      </w:r>
    </w:p>
    <w:p w14:paraId="68EE4561" w14:textId="2FAFE8EC" w:rsidR="00E75129" w:rsidRPr="002B3BFF" w:rsidRDefault="00E75129" w:rsidP="002B3BFF">
      <w:pPr>
        <w:numPr>
          <w:ilvl w:val="0"/>
          <w:numId w:val="2"/>
        </w:numPr>
        <w:rPr>
          <w:sz w:val="24"/>
        </w:rPr>
      </w:pPr>
      <w:r>
        <w:rPr>
          <w:sz w:val="24"/>
        </w:rPr>
        <w:t xml:space="preserve">Questions? Call </w:t>
      </w:r>
      <w:r w:rsidR="002B3BFF">
        <w:rPr>
          <w:sz w:val="24"/>
        </w:rPr>
        <w:t>Jo</w:t>
      </w:r>
      <w:r w:rsidR="00A85B72">
        <w:rPr>
          <w:sz w:val="24"/>
        </w:rPr>
        <w:t>hn Krellner</w:t>
      </w:r>
      <w:r w:rsidR="002B3BFF">
        <w:rPr>
          <w:sz w:val="24"/>
        </w:rPr>
        <w:t xml:space="preserve"> </w:t>
      </w:r>
      <w:r w:rsidR="000B620A">
        <w:rPr>
          <w:sz w:val="24"/>
        </w:rPr>
        <w:t xml:space="preserve">at (919) </w:t>
      </w:r>
      <w:r w:rsidR="00DA01C4">
        <w:rPr>
          <w:sz w:val="24"/>
        </w:rPr>
        <w:t>707-</w:t>
      </w:r>
      <w:r w:rsidR="00825395">
        <w:rPr>
          <w:sz w:val="24"/>
        </w:rPr>
        <w:t>0</w:t>
      </w:r>
      <w:r w:rsidR="00A85B72">
        <w:rPr>
          <w:sz w:val="24"/>
        </w:rPr>
        <w:t>474</w:t>
      </w:r>
      <w:r w:rsidR="00003480">
        <w:rPr>
          <w:sz w:val="24"/>
        </w:rPr>
        <w:t xml:space="preserve"> </w:t>
      </w:r>
      <w:r w:rsidR="00AB6C26">
        <w:rPr>
          <w:sz w:val="24"/>
        </w:rPr>
        <w:t xml:space="preserve">or </w:t>
      </w:r>
      <w:r w:rsidR="00003480">
        <w:rPr>
          <w:sz w:val="24"/>
        </w:rPr>
        <w:t xml:space="preserve">email </w:t>
      </w:r>
      <w:hyperlink r:id="rId7" w:history="1">
        <w:r w:rsidR="00A85B72" w:rsidRPr="00B84A71">
          <w:rPr>
            <w:rStyle w:val="Hyperlink"/>
            <w:sz w:val="24"/>
          </w:rPr>
          <w:t>john.krellner@osc.nc.gov</w:t>
        </w:r>
      </w:hyperlink>
      <w:r w:rsidRPr="002B3BFF">
        <w:rPr>
          <w:sz w:val="24"/>
        </w:rPr>
        <w:t xml:space="preserve">. </w:t>
      </w:r>
    </w:p>
    <w:p w14:paraId="17E88B02" w14:textId="1C062638" w:rsidR="005042C7" w:rsidRPr="005042C7" w:rsidRDefault="0057180D" w:rsidP="00C25285">
      <w:pPr>
        <w:numPr>
          <w:ilvl w:val="0"/>
          <w:numId w:val="2"/>
        </w:numPr>
        <w:rPr>
          <w:b/>
        </w:rPr>
      </w:pPr>
      <w:r>
        <w:rPr>
          <w:sz w:val="24"/>
        </w:rPr>
        <w:t xml:space="preserve">Please send </w:t>
      </w:r>
      <w:r w:rsidR="00D53534">
        <w:rPr>
          <w:sz w:val="24"/>
        </w:rPr>
        <w:t xml:space="preserve">your </w:t>
      </w:r>
      <w:r w:rsidR="004C667D">
        <w:rPr>
          <w:sz w:val="24"/>
          <w:u w:val="single"/>
        </w:rPr>
        <w:t>20</w:t>
      </w:r>
      <w:r w:rsidR="009B03B3">
        <w:rPr>
          <w:sz w:val="24"/>
          <w:u w:val="single"/>
        </w:rPr>
        <w:t>2</w:t>
      </w:r>
      <w:r w:rsidR="00A85B72">
        <w:rPr>
          <w:sz w:val="24"/>
          <w:u w:val="single"/>
        </w:rPr>
        <w:t>2</w:t>
      </w:r>
      <w:r w:rsidR="004C667D">
        <w:rPr>
          <w:sz w:val="24"/>
          <w:u w:val="single"/>
        </w:rPr>
        <w:t xml:space="preserve"> Comm_Coll_Year-End</w:t>
      </w:r>
      <w:r w:rsidR="00011777">
        <w:rPr>
          <w:sz w:val="24"/>
          <w:u w:val="single"/>
        </w:rPr>
        <w:t xml:space="preserve"> </w:t>
      </w:r>
      <w:r w:rsidR="003B2F6D">
        <w:rPr>
          <w:sz w:val="24"/>
          <w:u w:val="single"/>
        </w:rPr>
        <w:t>ACFR</w:t>
      </w:r>
      <w:r w:rsidR="004C667D">
        <w:rPr>
          <w:sz w:val="24"/>
          <w:u w:val="single"/>
        </w:rPr>
        <w:t xml:space="preserve"> Package</w:t>
      </w:r>
      <w:r w:rsidR="006C7B21">
        <w:rPr>
          <w:sz w:val="24"/>
        </w:rPr>
        <w:t xml:space="preserve"> </w:t>
      </w:r>
      <w:r w:rsidR="00437E4F">
        <w:rPr>
          <w:sz w:val="24"/>
        </w:rPr>
        <w:t>workbook</w:t>
      </w:r>
      <w:r w:rsidR="006C7B21">
        <w:rPr>
          <w:sz w:val="24"/>
        </w:rPr>
        <w:t xml:space="preserve"> renamed as</w:t>
      </w:r>
      <w:r w:rsidR="00975C11">
        <w:rPr>
          <w:sz w:val="24"/>
        </w:rPr>
        <w:t xml:space="preserve"> the</w:t>
      </w:r>
      <w:r w:rsidR="003835CC">
        <w:rPr>
          <w:sz w:val="24"/>
        </w:rPr>
        <w:t xml:space="preserve"> </w:t>
      </w:r>
      <w:r w:rsidR="003B2F6D">
        <w:rPr>
          <w:sz w:val="24"/>
        </w:rPr>
        <w:t>ACFR</w:t>
      </w:r>
      <w:r w:rsidR="003835CC">
        <w:rPr>
          <w:sz w:val="24"/>
        </w:rPr>
        <w:t xml:space="preserve"> filename</w:t>
      </w:r>
      <w:r w:rsidR="00975C11">
        <w:rPr>
          <w:sz w:val="24"/>
        </w:rPr>
        <w:t xml:space="preserve"> for your college</w:t>
      </w:r>
      <w:r w:rsidR="00D53534">
        <w:rPr>
          <w:sz w:val="24"/>
        </w:rPr>
        <w:t xml:space="preserve">, along with your letter of </w:t>
      </w:r>
      <w:r w:rsidR="003A45B1">
        <w:rPr>
          <w:sz w:val="24"/>
        </w:rPr>
        <w:t>certific</w:t>
      </w:r>
      <w:r w:rsidR="00D53534">
        <w:rPr>
          <w:sz w:val="24"/>
        </w:rPr>
        <w:t xml:space="preserve">ation </w:t>
      </w:r>
      <w:r w:rsidR="003A2F2E">
        <w:rPr>
          <w:sz w:val="24"/>
        </w:rPr>
        <w:t xml:space="preserve">to </w:t>
      </w:r>
      <w:r>
        <w:rPr>
          <w:sz w:val="24"/>
        </w:rPr>
        <w:t xml:space="preserve">the new OSC Year-End Reporting Package Sharepoint site </w:t>
      </w:r>
      <w:hyperlink r:id="rId8" w:history="1">
        <w:r w:rsidR="00011777">
          <w:rPr>
            <w:rStyle w:val="Hyperlink"/>
          </w:rPr>
          <w:t>OSC Year-End Financial Reporting Packages SharePoint site</w:t>
        </w:r>
      </w:hyperlink>
      <w:r w:rsidR="003A2F2E">
        <w:rPr>
          <w:sz w:val="24"/>
        </w:rPr>
        <w:t xml:space="preserve"> </w:t>
      </w:r>
      <w:r w:rsidR="00D53534">
        <w:rPr>
          <w:sz w:val="24"/>
        </w:rPr>
        <w:t xml:space="preserve">by </w:t>
      </w:r>
      <w:r w:rsidR="009A7042" w:rsidRPr="00E4197C">
        <w:rPr>
          <w:b/>
          <w:sz w:val="24"/>
          <w:u w:val="single"/>
        </w:rPr>
        <w:t xml:space="preserve">August </w:t>
      </w:r>
      <w:r w:rsidR="001E4EAD" w:rsidRPr="00E4197C">
        <w:rPr>
          <w:b/>
          <w:sz w:val="24"/>
          <w:u w:val="single"/>
        </w:rPr>
        <w:t>2</w:t>
      </w:r>
      <w:r w:rsidR="003B2F6D">
        <w:rPr>
          <w:b/>
          <w:sz w:val="24"/>
          <w:u w:val="single"/>
        </w:rPr>
        <w:t>6</w:t>
      </w:r>
      <w:r w:rsidR="00D53534" w:rsidRPr="00E4197C">
        <w:rPr>
          <w:b/>
          <w:sz w:val="24"/>
          <w:u w:val="single"/>
        </w:rPr>
        <w:t xml:space="preserve">, </w:t>
      </w:r>
      <w:r w:rsidR="003F6902" w:rsidRPr="00E4197C">
        <w:rPr>
          <w:b/>
          <w:sz w:val="24"/>
          <w:u w:val="single"/>
        </w:rPr>
        <w:t>20</w:t>
      </w:r>
      <w:r w:rsidR="00435EDC" w:rsidRPr="00E4197C">
        <w:rPr>
          <w:b/>
          <w:sz w:val="24"/>
          <w:u w:val="single"/>
        </w:rPr>
        <w:t>2</w:t>
      </w:r>
      <w:r w:rsidR="00A85B72">
        <w:rPr>
          <w:b/>
          <w:sz w:val="24"/>
          <w:u w:val="single"/>
        </w:rPr>
        <w:t>2</w:t>
      </w:r>
      <w:r w:rsidR="00D53534">
        <w:rPr>
          <w:sz w:val="24"/>
        </w:rPr>
        <w:t>.</w:t>
      </w:r>
      <w:r w:rsidR="003835CC">
        <w:rPr>
          <w:sz w:val="24"/>
        </w:rPr>
        <w:t xml:space="preserve"> </w:t>
      </w:r>
      <w:r w:rsidRPr="0057180D">
        <w:rPr>
          <w:b/>
          <w:sz w:val="24"/>
          <w:szCs w:val="24"/>
        </w:rPr>
        <w:t>OSC will not accept year-end packages via email.</w:t>
      </w:r>
      <w:r>
        <w:rPr>
          <w:b/>
          <w:sz w:val="24"/>
          <w:szCs w:val="24"/>
        </w:rPr>
        <w:t xml:space="preserve">  </w:t>
      </w:r>
      <w:r w:rsidR="00FD6A22" w:rsidRPr="00FD6A22">
        <w:rPr>
          <w:b/>
          <w:sz w:val="24"/>
        </w:rPr>
        <w:t>Earlier submission is strongly encouraged!</w:t>
      </w:r>
      <w:r w:rsidR="00FD6A22">
        <w:rPr>
          <w:sz w:val="24"/>
        </w:rPr>
        <w:t xml:space="preserve"> </w:t>
      </w:r>
      <w:r w:rsidR="003835CC">
        <w:rPr>
          <w:sz w:val="24"/>
        </w:rPr>
        <w:t xml:space="preserve"> </w:t>
      </w:r>
      <w:r w:rsidR="00AF3F82">
        <w:rPr>
          <w:sz w:val="24"/>
        </w:rPr>
        <w:t>Please i</w:t>
      </w:r>
      <w:r w:rsidR="00975C11">
        <w:rPr>
          <w:sz w:val="24"/>
        </w:rPr>
        <w:t xml:space="preserve">nclude your </w:t>
      </w:r>
      <w:r w:rsidR="006C7B21">
        <w:rPr>
          <w:sz w:val="24"/>
        </w:rPr>
        <w:t>college name</w:t>
      </w:r>
      <w:r w:rsidR="00975C11">
        <w:rPr>
          <w:sz w:val="24"/>
        </w:rPr>
        <w:t xml:space="preserve"> </w:t>
      </w:r>
      <w:r w:rsidR="006C7B21">
        <w:rPr>
          <w:sz w:val="24"/>
        </w:rPr>
        <w:t>in the subject line.</w:t>
      </w:r>
      <w:r w:rsidR="00AF3F82">
        <w:rPr>
          <w:sz w:val="24"/>
        </w:rPr>
        <w:t xml:space="preserve">  </w:t>
      </w:r>
      <w:r w:rsidR="00C25285">
        <w:rPr>
          <w:sz w:val="24"/>
        </w:rPr>
        <w:t xml:space="preserve">OSC will send a </w:t>
      </w:r>
      <w:r w:rsidR="003A2F2E">
        <w:rPr>
          <w:sz w:val="24"/>
        </w:rPr>
        <w:t>c</w:t>
      </w:r>
      <w:r w:rsidR="003D7504">
        <w:rPr>
          <w:sz w:val="24"/>
        </w:rPr>
        <w:t>onfirmation reply to</w:t>
      </w:r>
      <w:r w:rsidR="00C25285">
        <w:rPr>
          <w:sz w:val="24"/>
        </w:rPr>
        <w:t xml:space="preserve"> acknowledge the receipt of your package. Remember to save a copy of your final package for your records.</w:t>
      </w:r>
      <w:r w:rsidR="003D7504">
        <w:rPr>
          <w:sz w:val="24"/>
        </w:rPr>
        <w:t xml:space="preserve"> </w:t>
      </w:r>
      <w:r w:rsidR="00AF3F82">
        <w:rPr>
          <w:sz w:val="24"/>
        </w:rPr>
        <w:t>Thank you!</w:t>
      </w:r>
      <w:r w:rsidR="00EB3758">
        <w:rPr>
          <w:sz w:val="24"/>
        </w:rPr>
        <w:t xml:space="preserve"> </w:t>
      </w:r>
    </w:p>
    <w:p w14:paraId="3D0B2D55" w14:textId="1F396B2E" w:rsidR="006C7B21" w:rsidRDefault="00AF3F82" w:rsidP="00AF3F82">
      <w:pPr>
        <w:rPr>
          <w:b/>
        </w:rPr>
      </w:pPr>
      <w:r>
        <w:rPr>
          <w:sz w:val="24"/>
        </w:rPr>
        <w:t xml:space="preserve">                </w:t>
      </w:r>
    </w:p>
    <w:p w14:paraId="70D6FB67" w14:textId="3A3385D1" w:rsidR="00EB3758" w:rsidRDefault="00EB3758" w:rsidP="00EB3758">
      <w:pPr>
        <w:pStyle w:val="Heading4"/>
        <w:spacing w:before="0" w:after="0"/>
        <w:rPr>
          <w:rFonts w:ascii="Times New Roman" w:hAnsi="Times New Roman"/>
          <w:sz w:val="28"/>
        </w:rPr>
      </w:pPr>
      <w:r>
        <w:rPr>
          <w:rFonts w:ascii="Times New Roman" w:hAnsi="Times New Roman"/>
          <w:sz w:val="28"/>
        </w:rPr>
        <w:lastRenderedPageBreak/>
        <w:t xml:space="preserve">College Numbers and </w:t>
      </w:r>
      <w:r w:rsidR="003B2F6D">
        <w:rPr>
          <w:rFonts w:ascii="Times New Roman" w:hAnsi="Times New Roman"/>
          <w:sz w:val="28"/>
        </w:rPr>
        <w:t>ACFR</w:t>
      </w:r>
      <w:r>
        <w:rPr>
          <w:rFonts w:ascii="Times New Roman" w:hAnsi="Times New Roman"/>
          <w:sz w:val="28"/>
        </w:rPr>
        <w:t xml:space="preserve"> Filenames for </w:t>
      </w:r>
      <w:r w:rsidR="00AB6C26">
        <w:rPr>
          <w:rFonts w:ascii="Times New Roman" w:hAnsi="Times New Roman"/>
          <w:sz w:val="28"/>
        </w:rPr>
        <w:t>E</w:t>
      </w:r>
      <w:r>
        <w:rPr>
          <w:rFonts w:ascii="Times New Roman" w:hAnsi="Times New Roman"/>
          <w:sz w:val="28"/>
        </w:rPr>
        <w:t xml:space="preserve">ach </w:t>
      </w:r>
      <w:r w:rsidR="00AB6C26">
        <w:rPr>
          <w:rFonts w:ascii="Times New Roman" w:hAnsi="Times New Roman"/>
          <w:sz w:val="28"/>
        </w:rPr>
        <w:t>C</w:t>
      </w:r>
      <w:r>
        <w:rPr>
          <w:rFonts w:ascii="Times New Roman" w:hAnsi="Times New Roman"/>
          <w:sz w:val="28"/>
        </w:rPr>
        <w:t>ollege</w:t>
      </w:r>
      <w:r w:rsidR="00AB6C26">
        <w:rPr>
          <w:rFonts w:ascii="Times New Roman" w:hAnsi="Times New Roman"/>
          <w:sz w:val="28"/>
        </w:rPr>
        <w:t>:</w:t>
      </w:r>
    </w:p>
    <w:p w14:paraId="0277A358" w14:textId="714F3E59" w:rsidR="00EB3758" w:rsidRDefault="00EB3758" w:rsidP="00EB3758">
      <w:pPr>
        <w:rPr>
          <w:b/>
          <w:sz w:val="28"/>
        </w:rPr>
      </w:pPr>
      <w:r>
        <w:rPr>
          <w:b/>
          <w:sz w:val="28"/>
        </w:rPr>
        <w:t xml:space="preserve">Save your </w:t>
      </w:r>
      <w:r w:rsidR="004C667D">
        <w:rPr>
          <w:b/>
          <w:sz w:val="28"/>
          <w:u w:val="single"/>
        </w:rPr>
        <w:t>20</w:t>
      </w:r>
      <w:r w:rsidR="00385B0E">
        <w:rPr>
          <w:b/>
          <w:sz w:val="28"/>
          <w:u w:val="single"/>
        </w:rPr>
        <w:t>2</w:t>
      </w:r>
      <w:r w:rsidR="00A85B72">
        <w:rPr>
          <w:b/>
          <w:sz w:val="28"/>
          <w:u w:val="single"/>
        </w:rPr>
        <w:t>2</w:t>
      </w:r>
      <w:r w:rsidR="004C667D">
        <w:rPr>
          <w:b/>
          <w:sz w:val="28"/>
          <w:u w:val="single"/>
        </w:rPr>
        <w:t xml:space="preserve"> Comm_Coll_Year-End </w:t>
      </w:r>
      <w:r w:rsidR="003B2F6D">
        <w:rPr>
          <w:b/>
          <w:sz w:val="28"/>
          <w:u w:val="single"/>
        </w:rPr>
        <w:t>ACFR</w:t>
      </w:r>
      <w:r w:rsidR="004C667D">
        <w:rPr>
          <w:b/>
          <w:sz w:val="28"/>
          <w:u w:val="single"/>
        </w:rPr>
        <w:t xml:space="preserve"> Package</w:t>
      </w:r>
      <w:r>
        <w:rPr>
          <w:b/>
          <w:sz w:val="28"/>
        </w:rPr>
        <w:t xml:space="preserve"> file as the </w:t>
      </w:r>
      <w:r w:rsidR="003B2F6D">
        <w:rPr>
          <w:b/>
          <w:sz w:val="28"/>
        </w:rPr>
        <w:t>ACFR</w:t>
      </w:r>
      <w:r>
        <w:rPr>
          <w:b/>
          <w:sz w:val="28"/>
        </w:rPr>
        <w:t xml:space="preserve"> filename assigned to your college.</w:t>
      </w:r>
      <w:r w:rsidR="00E82A9D">
        <w:rPr>
          <w:b/>
          <w:sz w:val="28"/>
        </w:rPr>
        <w:t xml:space="preserve">  Please </w:t>
      </w:r>
      <w:r w:rsidR="00AB6C26">
        <w:rPr>
          <w:b/>
          <w:sz w:val="28"/>
        </w:rPr>
        <w:t>save the Excel using</w:t>
      </w:r>
      <w:r w:rsidR="00E82A9D">
        <w:rPr>
          <w:b/>
          <w:sz w:val="28"/>
        </w:rPr>
        <w:t xml:space="preserve"> “.xlsx” format.</w:t>
      </w:r>
    </w:p>
    <w:p w14:paraId="42C22370" w14:textId="77777777" w:rsidR="00EB3758" w:rsidRDefault="00EB3758" w:rsidP="00EB3758">
      <w:pPr>
        <w:rPr>
          <w:b/>
        </w:rPr>
      </w:pPr>
    </w:p>
    <w:p w14:paraId="2CD64992" w14:textId="77777777" w:rsidR="000B3C0A" w:rsidRDefault="000B3C0A" w:rsidP="00EB3758">
      <w:pPr>
        <w:rPr>
          <w:b/>
        </w:rPr>
      </w:pPr>
    </w:p>
    <w:tbl>
      <w:tblPr>
        <w:tblW w:w="0" w:type="auto"/>
        <w:tblLayout w:type="fixed"/>
        <w:tblCellMar>
          <w:left w:w="30" w:type="dxa"/>
          <w:right w:w="30" w:type="dxa"/>
        </w:tblCellMar>
        <w:tblLook w:val="0000" w:firstRow="0" w:lastRow="0" w:firstColumn="0" w:lastColumn="0" w:noHBand="0" w:noVBand="0"/>
      </w:tblPr>
      <w:tblGrid>
        <w:gridCol w:w="300"/>
        <w:gridCol w:w="900"/>
        <w:gridCol w:w="90"/>
        <w:gridCol w:w="4770"/>
        <w:gridCol w:w="1530"/>
      </w:tblGrid>
      <w:tr w:rsidR="00EB3758" w14:paraId="138DA597"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3D13444" w14:textId="77777777" w:rsidR="00EB3758" w:rsidRDefault="00EB3758" w:rsidP="00427785">
            <w:pPr>
              <w:jc w:val="right"/>
              <w:rPr>
                <w:rFonts w:ascii="MS Sans Serif" w:hAnsi="MS Sans Serif"/>
                <w:snapToGrid w:val="0"/>
                <w:color w:val="000000"/>
              </w:rPr>
            </w:pPr>
          </w:p>
        </w:tc>
        <w:tc>
          <w:tcPr>
            <w:tcW w:w="900" w:type="dxa"/>
            <w:tcBorders>
              <w:top w:val="single" w:sz="6" w:space="0" w:color="auto"/>
              <w:bottom w:val="single" w:sz="6" w:space="0" w:color="auto"/>
              <w:right w:val="single" w:sz="6" w:space="0" w:color="auto"/>
            </w:tcBorders>
            <w:shd w:val="solid" w:color="FFFFFF" w:fill="auto"/>
          </w:tcPr>
          <w:p w14:paraId="7BCEE074" w14:textId="77777777" w:rsidR="00EB3758" w:rsidRDefault="00EB3758" w:rsidP="00427785">
            <w:pPr>
              <w:jc w:val="center"/>
              <w:rPr>
                <w:rFonts w:ascii="MS Sans Serif" w:hAnsi="MS Sans Serif"/>
                <w:b/>
                <w:snapToGrid w:val="0"/>
                <w:color w:val="000000"/>
              </w:rPr>
            </w:pPr>
            <w:r>
              <w:rPr>
                <w:rFonts w:ascii="MS Sans Serif" w:hAnsi="MS Sans Serif"/>
                <w:b/>
                <w:snapToGrid w:val="0"/>
                <w:color w:val="000000"/>
              </w:rPr>
              <w:t>College</w:t>
            </w:r>
          </w:p>
        </w:tc>
        <w:tc>
          <w:tcPr>
            <w:tcW w:w="90" w:type="dxa"/>
            <w:tcBorders>
              <w:top w:val="single" w:sz="6" w:space="0" w:color="auto"/>
              <w:left w:val="single" w:sz="6" w:space="0" w:color="auto"/>
              <w:bottom w:val="single" w:sz="6" w:space="0" w:color="auto"/>
            </w:tcBorders>
            <w:shd w:val="solid" w:color="FFFFFF" w:fill="auto"/>
          </w:tcPr>
          <w:p w14:paraId="4A85B47B"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669B3B8" w14:textId="77777777" w:rsidR="00EB3758" w:rsidRDefault="00EB3758" w:rsidP="00427785">
            <w:pPr>
              <w:jc w:val="center"/>
              <w:rPr>
                <w:rFonts w:ascii="MS Sans Serif" w:hAnsi="MS Sans Serif"/>
                <w:b/>
                <w:snapToGrid w:val="0"/>
                <w:color w:val="000000"/>
              </w:rPr>
            </w:pP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02055F0" w14:textId="761F8B32" w:rsidR="00EB3758" w:rsidRDefault="003B2F6D" w:rsidP="00427785">
            <w:pPr>
              <w:jc w:val="center"/>
              <w:rPr>
                <w:rFonts w:ascii="MS Sans Serif" w:hAnsi="MS Sans Serif"/>
                <w:b/>
                <w:i/>
                <w:snapToGrid w:val="0"/>
                <w:color w:val="000000"/>
              </w:rPr>
            </w:pPr>
            <w:r>
              <w:rPr>
                <w:rFonts w:ascii="MS Sans Serif" w:hAnsi="MS Sans Serif"/>
                <w:b/>
                <w:i/>
                <w:snapToGrid w:val="0"/>
                <w:color w:val="000000"/>
              </w:rPr>
              <w:t>ACFR</w:t>
            </w:r>
          </w:p>
        </w:tc>
      </w:tr>
      <w:tr w:rsidR="00EB3758" w14:paraId="777D8149"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C165DAF" w14:textId="77777777" w:rsidR="00EB3758" w:rsidRDefault="00EB3758" w:rsidP="00427785">
            <w:pPr>
              <w:jc w:val="right"/>
              <w:rPr>
                <w:rFonts w:ascii="MS Sans Serif" w:hAnsi="MS Sans Serif"/>
                <w:snapToGrid w:val="0"/>
                <w:color w:val="000000"/>
              </w:rPr>
            </w:pPr>
          </w:p>
        </w:tc>
        <w:tc>
          <w:tcPr>
            <w:tcW w:w="900" w:type="dxa"/>
            <w:tcBorders>
              <w:top w:val="single" w:sz="6" w:space="0" w:color="auto"/>
              <w:bottom w:val="single" w:sz="6" w:space="0" w:color="auto"/>
              <w:right w:val="single" w:sz="6" w:space="0" w:color="auto"/>
            </w:tcBorders>
            <w:shd w:val="solid" w:color="FFFFFF" w:fill="auto"/>
          </w:tcPr>
          <w:p w14:paraId="4114D585" w14:textId="77777777" w:rsidR="00EB3758" w:rsidRDefault="00EB3758" w:rsidP="00427785">
            <w:pPr>
              <w:jc w:val="center"/>
              <w:rPr>
                <w:rFonts w:ascii="MS Sans Serif" w:hAnsi="MS Sans Serif"/>
                <w:b/>
                <w:snapToGrid w:val="0"/>
                <w:color w:val="000000"/>
                <w:u w:val="single"/>
              </w:rPr>
            </w:pPr>
            <w:r>
              <w:rPr>
                <w:rFonts w:ascii="MS Sans Serif" w:hAnsi="MS Sans Serif"/>
                <w:b/>
                <w:snapToGrid w:val="0"/>
                <w:color w:val="000000"/>
                <w:u w:val="single"/>
              </w:rPr>
              <w:t>Number</w:t>
            </w:r>
          </w:p>
        </w:tc>
        <w:tc>
          <w:tcPr>
            <w:tcW w:w="90" w:type="dxa"/>
            <w:tcBorders>
              <w:top w:val="single" w:sz="6" w:space="0" w:color="auto"/>
              <w:left w:val="single" w:sz="6" w:space="0" w:color="auto"/>
              <w:bottom w:val="single" w:sz="6" w:space="0" w:color="auto"/>
            </w:tcBorders>
            <w:shd w:val="solid" w:color="FFFFFF" w:fill="auto"/>
          </w:tcPr>
          <w:p w14:paraId="57502C14"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9B7D029" w14:textId="77777777" w:rsidR="00EB3758" w:rsidRDefault="00EB3758" w:rsidP="00427785">
            <w:pPr>
              <w:jc w:val="center"/>
              <w:rPr>
                <w:rFonts w:ascii="MS Sans Serif" w:hAnsi="MS Sans Serif"/>
                <w:b/>
                <w:i/>
                <w:snapToGrid w:val="0"/>
                <w:color w:val="000000"/>
                <w:u w:val="single"/>
              </w:rPr>
            </w:pPr>
            <w:r>
              <w:rPr>
                <w:rFonts w:ascii="MS Sans Serif" w:hAnsi="MS Sans Serif"/>
                <w:b/>
                <w:i/>
                <w:snapToGrid w:val="0"/>
                <w:color w:val="000000"/>
                <w:u w:val="single"/>
              </w:rPr>
              <w:t>COMMUNITY COLLEGE</w:t>
            </w: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BB98704" w14:textId="77777777" w:rsidR="00EB3758" w:rsidRDefault="00EB3758" w:rsidP="00427785">
            <w:pPr>
              <w:jc w:val="center"/>
              <w:rPr>
                <w:rFonts w:ascii="MS Sans Serif" w:hAnsi="MS Sans Serif"/>
                <w:b/>
                <w:i/>
                <w:snapToGrid w:val="0"/>
                <w:color w:val="000000"/>
                <w:u w:val="single"/>
              </w:rPr>
            </w:pPr>
            <w:r>
              <w:rPr>
                <w:rFonts w:ascii="MS Sans Serif" w:hAnsi="MS Sans Serif"/>
                <w:b/>
                <w:i/>
                <w:snapToGrid w:val="0"/>
                <w:color w:val="000000"/>
                <w:u w:val="single"/>
              </w:rPr>
              <w:t>FILENAME</w:t>
            </w:r>
          </w:p>
        </w:tc>
      </w:tr>
      <w:tr w:rsidR="00EB3758" w14:paraId="7728027C"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4D5CFBF" w14:textId="77777777" w:rsidR="00EB3758" w:rsidRDefault="00EB3758" w:rsidP="00427785">
            <w:pPr>
              <w:rPr>
                <w:rFonts w:ascii="MS Sans Serif" w:hAnsi="MS Sans Serif"/>
                <w:snapToGrid w:val="0"/>
                <w:color w:val="000000"/>
              </w:rPr>
            </w:pPr>
            <w:r>
              <w:rPr>
                <w:rFonts w:ascii="MS Sans Serif" w:hAnsi="MS Sans Serif"/>
                <w:snapToGrid w:val="0"/>
                <w:color w:val="000000"/>
              </w:rPr>
              <w:t xml:space="preserve"> </w:t>
            </w:r>
          </w:p>
        </w:tc>
        <w:tc>
          <w:tcPr>
            <w:tcW w:w="900" w:type="dxa"/>
            <w:tcBorders>
              <w:top w:val="single" w:sz="6" w:space="0" w:color="auto"/>
              <w:bottom w:val="single" w:sz="6" w:space="0" w:color="auto"/>
              <w:right w:val="single" w:sz="6" w:space="0" w:color="auto"/>
            </w:tcBorders>
            <w:shd w:val="solid" w:color="FFFFFF" w:fill="auto"/>
          </w:tcPr>
          <w:p w14:paraId="398FA08A" w14:textId="77777777" w:rsidR="00EB3758" w:rsidRDefault="00EB3758" w:rsidP="00427785">
            <w:pPr>
              <w:jc w:val="center"/>
              <w:rPr>
                <w:rFonts w:ascii="MS Sans Serif" w:hAnsi="MS Sans Serif"/>
                <w:b/>
                <w:i/>
                <w:snapToGrid w:val="0"/>
                <w:color w:val="000000"/>
              </w:rPr>
            </w:pPr>
          </w:p>
        </w:tc>
        <w:tc>
          <w:tcPr>
            <w:tcW w:w="90" w:type="dxa"/>
            <w:tcBorders>
              <w:top w:val="single" w:sz="6" w:space="0" w:color="auto"/>
              <w:left w:val="single" w:sz="6" w:space="0" w:color="auto"/>
              <w:bottom w:val="single" w:sz="6" w:space="0" w:color="auto"/>
            </w:tcBorders>
            <w:shd w:val="solid" w:color="FFFFFF" w:fill="auto"/>
          </w:tcPr>
          <w:p w14:paraId="560E92EA"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8271179" w14:textId="77777777" w:rsidR="00EB3758" w:rsidRDefault="00EB3758" w:rsidP="00427785">
            <w:pPr>
              <w:jc w:val="right"/>
              <w:rPr>
                <w:rFonts w:ascii="MS Sans Serif" w:hAnsi="MS Sans Serif"/>
                <w:b/>
                <w:i/>
                <w:snapToGrid w:val="0"/>
                <w:color w:val="000000"/>
              </w:rPr>
            </w:pP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DD6091A" w14:textId="77777777" w:rsidR="00EB3758" w:rsidRDefault="00EB3758" w:rsidP="00427785">
            <w:pPr>
              <w:jc w:val="center"/>
              <w:rPr>
                <w:rFonts w:ascii="MS Sans Serif" w:hAnsi="MS Sans Serif"/>
                <w:snapToGrid w:val="0"/>
                <w:color w:val="000000"/>
              </w:rPr>
            </w:pPr>
          </w:p>
        </w:tc>
      </w:tr>
      <w:tr w:rsidR="00EB3758" w14:paraId="3B736E68"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4F4394B"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w:t>
            </w:r>
          </w:p>
        </w:tc>
        <w:tc>
          <w:tcPr>
            <w:tcW w:w="900" w:type="dxa"/>
            <w:tcBorders>
              <w:top w:val="single" w:sz="6" w:space="0" w:color="auto"/>
              <w:bottom w:val="single" w:sz="6" w:space="0" w:color="auto"/>
              <w:right w:val="single" w:sz="6" w:space="0" w:color="auto"/>
            </w:tcBorders>
            <w:shd w:val="solid" w:color="FFFFFF" w:fill="auto"/>
          </w:tcPr>
          <w:p w14:paraId="3846E1F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C0</w:t>
            </w:r>
          </w:p>
        </w:tc>
        <w:tc>
          <w:tcPr>
            <w:tcW w:w="90" w:type="dxa"/>
            <w:tcBorders>
              <w:top w:val="single" w:sz="6" w:space="0" w:color="auto"/>
              <w:left w:val="single" w:sz="6" w:space="0" w:color="auto"/>
              <w:bottom w:val="single" w:sz="6" w:space="0" w:color="auto"/>
            </w:tcBorders>
            <w:shd w:val="solid" w:color="FFFFFF" w:fill="auto"/>
          </w:tcPr>
          <w:p w14:paraId="125793E7"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44D1D039"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Alamance</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02DE33D"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w:t>
            </w:r>
          </w:p>
        </w:tc>
      </w:tr>
      <w:tr w:rsidR="00EB3758" w14:paraId="430A4799"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65F5E0D"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w:t>
            </w:r>
          </w:p>
        </w:tc>
        <w:tc>
          <w:tcPr>
            <w:tcW w:w="900" w:type="dxa"/>
            <w:tcBorders>
              <w:top w:val="single" w:sz="6" w:space="0" w:color="auto"/>
              <w:bottom w:val="single" w:sz="6" w:space="0" w:color="auto"/>
              <w:right w:val="single" w:sz="6" w:space="0" w:color="auto"/>
            </w:tcBorders>
            <w:shd w:val="solid" w:color="FFFFFF" w:fill="auto"/>
          </w:tcPr>
          <w:p w14:paraId="23A8037F"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C1</w:t>
            </w:r>
          </w:p>
        </w:tc>
        <w:tc>
          <w:tcPr>
            <w:tcW w:w="90" w:type="dxa"/>
            <w:tcBorders>
              <w:top w:val="single" w:sz="6" w:space="0" w:color="auto"/>
              <w:left w:val="single" w:sz="6" w:space="0" w:color="auto"/>
              <w:bottom w:val="single" w:sz="6" w:space="0" w:color="auto"/>
            </w:tcBorders>
            <w:shd w:val="solid" w:color="FFFFFF" w:fill="auto"/>
          </w:tcPr>
          <w:p w14:paraId="7F9AF2C1"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65FCB39"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South</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Piedmont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404465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w:t>
            </w:r>
          </w:p>
        </w:tc>
      </w:tr>
      <w:tr w:rsidR="00EB3758" w14:paraId="3050327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C699EEE"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w:t>
            </w:r>
          </w:p>
        </w:tc>
        <w:tc>
          <w:tcPr>
            <w:tcW w:w="900" w:type="dxa"/>
            <w:tcBorders>
              <w:top w:val="single" w:sz="6" w:space="0" w:color="auto"/>
              <w:bottom w:val="single" w:sz="6" w:space="0" w:color="auto"/>
              <w:right w:val="single" w:sz="6" w:space="0" w:color="auto"/>
            </w:tcBorders>
            <w:shd w:val="solid" w:color="FFFFFF" w:fill="auto"/>
          </w:tcPr>
          <w:p w14:paraId="7B03154E"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C2</w:t>
            </w:r>
          </w:p>
        </w:tc>
        <w:tc>
          <w:tcPr>
            <w:tcW w:w="90" w:type="dxa"/>
            <w:tcBorders>
              <w:top w:val="single" w:sz="6" w:space="0" w:color="auto"/>
              <w:left w:val="single" w:sz="6" w:space="0" w:color="auto"/>
              <w:bottom w:val="single" w:sz="6" w:space="0" w:color="auto"/>
            </w:tcBorders>
            <w:shd w:val="solid" w:color="FFFFFF" w:fill="auto"/>
          </w:tcPr>
          <w:p w14:paraId="4055537D"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470A985"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Asheville-Buncombe</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124154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w:t>
            </w:r>
          </w:p>
        </w:tc>
      </w:tr>
      <w:tr w:rsidR="00EB3758" w14:paraId="5F4EBF5E"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FAC9629"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w:t>
            </w:r>
          </w:p>
        </w:tc>
        <w:tc>
          <w:tcPr>
            <w:tcW w:w="900" w:type="dxa"/>
            <w:tcBorders>
              <w:top w:val="single" w:sz="6" w:space="0" w:color="auto"/>
              <w:bottom w:val="single" w:sz="6" w:space="0" w:color="auto"/>
              <w:right w:val="single" w:sz="6" w:space="0" w:color="auto"/>
            </w:tcBorders>
            <w:shd w:val="solid" w:color="FFFFFF" w:fill="auto"/>
          </w:tcPr>
          <w:p w14:paraId="6B096CB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C3</w:t>
            </w:r>
          </w:p>
        </w:tc>
        <w:tc>
          <w:tcPr>
            <w:tcW w:w="90" w:type="dxa"/>
            <w:tcBorders>
              <w:top w:val="single" w:sz="6" w:space="0" w:color="auto"/>
              <w:left w:val="single" w:sz="6" w:space="0" w:color="auto"/>
              <w:bottom w:val="single" w:sz="6" w:space="0" w:color="auto"/>
            </w:tcBorders>
            <w:shd w:val="solid" w:color="FFFFFF" w:fill="auto"/>
          </w:tcPr>
          <w:p w14:paraId="639BE5A5"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6EC5C3E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Beaufort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County</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3F87FE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w:t>
            </w:r>
          </w:p>
        </w:tc>
      </w:tr>
      <w:tr w:rsidR="00EB3758" w14:paraId="5B5DBB08"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6B1050D0"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w:t>
            </w:r>
          </w:p>
        </w:tc>
        <w:tc>
          <w:tcPr>
            <w:tcW w:w="900" w:type="dxa"/>
            <w:tcBorders>
              <w:top w:val="single" w:sz="6" w:space="0" w:color="auto"/>
              <w:bottom w:val="single" w:sz="6" w:space="0" w:color="auto"/>
              <w:right w:val="single" w:sz="6" w:space="0" w:color="auto"/>
            </w:tcBorders>
            <w:shd w:val="solid" w:color="FFFFFF" w:fill="auto"/>
          </w:tcPr>
          <w:p w14:paraId="6BF9295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C4</w:t>
            </w:r>
          </w:p>
        </w:tc>
        <w:tc>
          <w:tcPr>
            <w:tcW w:w="90" w:type="dxa"/>
            <w:tcBorders>
              <w:top w:val="single" w:sz="6" w:space="0" w:color="auto"/>
              <w:left w:val="single" w:sz="6" w:space="0" w:color="auto"/>
              <w:bottom w:val="single" w:sz="6" w:space="0" w:color="auto"/>
            </w:tcBorders>
            <w:shd w:val="solid" w:color="FFFFFF" w:fill="auto"/>
          </w:tcPr>
          <w:p w14:paraId="50B37FC3"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1394C9C"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Bladen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E3CBE4F"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w:t>
            </w:r>
          </w:p>
        </w:tc>
      </w:tr>
      <w:tr w:rsidR="00EB3758" w14:paraId="62D904FD"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5DD160C"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6</w:t>
            </w:r>
          </w:p>
        </w:tc>
        <w:tc>
          <w:tcPr>
            <w:tcW w:w="900" w:type="dxa"/>
            <w:tcBorders>
              <w:top w:val="single" w:sz="6" w:space="0" w:color="auto"/>
              <w:bottom w:val="single" w:sz="6" w:space="0" w:color="auto"/>
              <w:right w:val="single" w:sz="6" w:space="0" w:color="auto"/>
            </w:tcBorders>
            <w:shd w:val="solid" w:color="FFFFFF" w:fill="auto"/>
          </w:tcPr>
          <w:p w14:paraId="7DA392A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C5</w:t>
            </w:r>
          </w:p>
        </w:tc>
        <w:tc>
          <w:tcPr>
            <w:tcW w:w="90" w:type="dxa"/>
            <w:tcBorders>
              <w:top w:val="single" w:sz="6" w:space="0" w:color="auto"/>
              <w:left w:val="single" w:sz="6" w:space="0" w:color="auto"/>
              <w:bottom w:val="single" w:sz="6" w:space="0" w:color="auto"/>
            </w:tcBorders>
            <w:shd w:val="solid" w:color="FFFFFF" w:fill="auto"/>
          </w:tcPr>
          <w:p w14:paraId="073E6877"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03A558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Blue Ridge</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8EEF92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CC6</w:t>
            </w:r>
          </w:p>
        </w:tc>
      </w:tr>
      <w:tr w:rsidR="00EB3758" w14:paraId="24A8DF5B"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AA15280"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7</w:t>
            </w:r>
          </w:p>
        </w:tc>
        <w:tc>
          <w:tcPr>
            <w:tcW w:w="900" w:type="dxa"/>
            <w:tcBorders>
              <w:top w:val="single" w:sz="6" w:space="0" w:color="auto"/>
              <w:bottom w:val="single" w:sz="6" w:space="0" w:color="auto"/>
              <w:right w:val="single" w:sz="6" w:space="0" w:color="auto"/>
            </w:tcBorders>
            <w:shd w:val="solid" w:color="FFFFFF" w:fill="auto"/>
          </w:tcPr>
          <w:p w14:paraId="59E6C44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C6</w:t>
            </w:r>
          </w:p>
        </w:tc>
        <w:tc>
          <w:tcPr>
            <w:tcW w:w="90" w:type="dxa"/>
            <w:tcBorders>
              <w:top w:val="single" w:sz="6" w:space="0" w:color="auto"/>
              <w:left w:val="single" w:sz="6" w:space="0" w:color="auto"/>
              <w:bottom w:val="single" w:sz="6" w:space="0" w:color="auto"/>
            </w:tcBorders>
            <w:shd w:val="solid" w:color="FFFFFF" w:fill="auto"/>
          </w:tcPr>
          <w:p w14:paraId="0503BD98"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B8D2ABC"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Brunswick</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71AD692D"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CC7</w:t>
            </w:r>
          </w:p>
        </w:tc>
      </w:tr>
      <w:tr w:rsidR="00EB3758" w14:paraId="6FE9ABAD"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D8D7135"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8</w:t>
            </w:r>
          </w:p>
        </w:tc>
        <w:tc>
          <w:tcPr>
            <w:tcW w:w="900" w:type="dxa"/>
            <w:tcBorders>
              <w:top w:val="single" w:sz="6" w:space="0" w:color="auto"/>
              <w:bottom w:val="single" w:sz="6" w:space="0" w:color="auto"/>
              <w:right w:val="single" w:sz="6" w:space="0" w:color="auto"/>
            </w:tcBorders>
            <w:shd w:val="solid" w:color="FFFFFF" w:fill="auto"/>
          </w:tcPr>
          <w:p w14:paraId="363D0593"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C7</w:t>
            </w:r>
          </w:p>
        </w:tc>
        <w:tc>
          <w:tcPr>
            <w:tcW w:w="90" w:type="dxa"/>
            <w:tcBorders>
              <w:top w:val="single" w:sz="6" w:space="0" w:color="auto"/>
              <w:left w:val="single" w:sz="6" w:space="0" w:color="auto"/>
              <w:bottom w:val="single" w:sz="6" w:space="0" w:color="auto"/>
            </w:tcBorders>
            <w:shd w:val="solid" w:color="FFFFFF" w:fill="auto"/>
          </w:tcPr>
          <w:p w14:paraId="5E0BB40A"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206C318"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Caldwell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r>
              <w:rPr>
                <w:rFonts w:ascii="MS Sans Serif" w:hAnsi="MS Sans Serif"/>
                <w:snapToGrid w:val="0"/>
                <w:color w:val="000000"/>
              </w:rPr>
              <w:t xml:space="preserve"> and Tech Institute</w:t>
            </w: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87732EE"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CC8</w:t>
            </w:r>
          </w:p>
        </w:tc>
      </w:tr>
      <w:tr w:rsidR="00EB3758" w14:paraId="709E9393"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26C0D2C"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9</w:t>
            </w:r>
          </w:p>
        </w:tc>
        <w:tc>
          <w:tcPr>
            <w:tcW w:w="900" w:type="dxa"/>
            <w:tcBorders>
              <w:top w:val="single" w:sz="6" w:space="0" w:color="auto"/>
              <w:bottom w:val="single" w:sz="6" w:space="0" w:color="auto"/>
              <w:right w:val="single" w:sz="6" w:space="0" w:color="auto"/>
            </w:tcBorders>
            <w:shd w:val="solid" w:color="FFFFFF" w:fill="auto"/>
          </w:tcPr>
          <w:p w14:paraId="36423E9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C8</w:t>
            </w:r>
          </w:p>
        </w:tc>
        <w:tc>
          <w:tcPr>
            <w:tcW w:w="90" w:type="dxa"/>
            <w:tcBorders>
              <w:top w:val="single" w:sz="6" w:space="0" w:color="auto"/>
              <w:left w:val="single" w:sz="6" w:space="0" w:color="auto"/>
              <w:bottom w:val="single" w:sz="6" w:space="0" w:color="auto"/>
            </w:tcBorders>
            <w:shd w:val="solid" w:color="FFFFFF" w:fill="auto"/>
          </w:tcPr>
          <w:p w14:paraId="26689042"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473068D"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Type">
                <w:r>
                  <w:rPr>
                    <w:rFonts w:ascii="MS Sans Serif" w:hAnsi="MS Sans Serif"/>
                    <w:snapToGrid w:val="0"/>
                    <w:color w:val="000000"/>
                  </w:rPr>
                  <w:t>Cape</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Fear</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BCF092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CC9</w:t>
            </w:r>
          </w:p>
        </w:tc>
      </w:tr>
      <w:tr w:rsidR="00EB3758" w14:paraId="462591D8"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E906504"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10</w:t>
            </w:r>
          </w:p>
        </w:tc>
        <w:tc>
          <w:tcPr>
            <w:tcW w:w="900" w:type="dxa"/>
            <w:tcBorders>
              <w:top w:val="single" w:sz="6" w:space="0" w:color="auto"/>
              <w:bottom w:val="single" w:sz="6" w:space="0" w:color="auto"/>
              <w:right w:val="single" w:sz="6" w:space="0" w:color="auto"/>
            </w:tcBorders>
            <w:shd w:val="solid" w:color="FFFFFF" w:fill="auto"/>
          </w:tcPr>
          <w:p w14:paraId="5480129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C9</w:t>
            </w:r>
          </w:p>
        </w:tc>
        <w:tc>
          <w:tcPr>
            <w:tcW w:w="90" w:type="dxa"/>
            <w:tcBorders>
              <w:top w:val="single" w:sz="6" w:space="0" w:color="auto"/>
              <w:left w:val="single" w:sz="6" w:space="0" w:color="auto"/>
              <w:bottom w:val="single" w:sz="6" w:space="0" w:color="auto"/>
            </w:tcBorders>
            <w:shd w:val="solid" w:color="FFFFFF" w:fill="auto"/>
          </w:tcPr>
          <w:p w14:paraId="5056C170"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B47CC9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Carteret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7C7F993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CC10</w:t>
            </w:r>
          </w:p>
        </w:tc>
      </w:tr>
      <w:tr w:rsidR="00EB3758" w14:paraId="763D942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A58F498"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11</w:t>
            </w:r>
          </w:p>
        </w:tc>
        <w:tc>
          <w:tcPr>
            <w:tcW w:w="900" w:type="dxa"/>
            <w:tcBorders>
              <w:top w:val="single" w:sz="6" w:space="0" w:color="auto"/>
              <w:bottom w:val="single" w:sz="6" w:space="0" w:color="auto"/>
              <w:right w:val="single" w:sz="6" w:space="0" w:color="auto"/>
            </w:tcBorders>
            <w:shd w:val="solid" w:color="FFFFFF" w:fill="auto"/>
          </w:tcPr>
          <w:p w14:paraId="31AC3EFD"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CA</w:t>
            </w:r>
          </w:p>
        </w:tc>
        <w:tc>
          <w:tcPr>
            <w:tcW w:w="90" w:type="dxa"/>
            <w:tcBorders>
              <w:top w:val="single" w:sz="6" w:space="0" w:color="auto"/>
              <w:left w:val="single" w:sz="6" w:space="0" w:color="auto"/>
              <w:bottom w:val="single" w:sz="6" w:space="0" w:color="auto"/>
            </w:tcBorders>
            <w:shd w:val="solid" w:color="FFFFFF" w:fill="auto"/>
          </w:tcPr>
          <w:p w14:paraId="37F94C9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1FC578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Catawba</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Valley</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78B5EC7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CC11</w:t>
            </w:r>
          </w:p>
        </w:tc>
      </w:tr>
      <w:tr w:rsidR="00EB3758" w14:paraId="5E9D8BEB"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3689C6B"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12</w:t>
            </w:r>
          </w:p>
        </w:tc>
        <w:tc>
          <w:tcPr>
            <w:tcW w:w="900" w:type="dxa"/>
            <w:tcBorders>
              <w:top w:val="single" w:sz="6" w:space="0" w:color="auto"/>
              <w:bottom w:val="single" w:sz="6" w:space="0" w:color="auto"/>
              <w:right w:val="single" w:sz="6" w:space="0" w:color="auto"/>
            </w:tcBorders>
            <w:shd w:val="solid" w:color="FFFFFF" w:fill="auto"/>
          </w:tcPr>
          <w:p w14:paraId="4F45740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CB</w:t>
            </w:r>
          </w:p>
        </w:tc>
        <w:tc>
          <w:tcPr>
            <w:tcW w:w="90" w:type="dxa"/>
            <w:tcBorders>
              <w:top w:val="single" w:sz="6" w:space="0" w:color="auto"/>
              <w:left w:val="single" w:sz="6" w:space="0" w:color="auto"/>
              <w:bottom w:val="single" w:sz="6" w:space="0" w:color="auto"/>
            </w:tcBorders>
            <w:shd w:val="solid" w:color="FFFFFF" w:fill="auto"/>
          </w:tcPr>
          <w:p w14:paraId="36815BD4"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BACB6B3"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Central</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Carolina</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BE9ACF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CC12</w:t>
            </w:r>
          </w:p>
        </w:tc>
      </w:tr>
      <w:tr w:rsidR="00EB3758" w14:paraId="394CAF2C"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D0DB0CD"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13</w:t>
            </w:r>
          </w:p>
        </w:tc>
        <w:tc>
          <w:tcPr>
            <w:tcW w:w="900" w:type="dxa"/>
            <w:tcBorders>
              <w:top w:val="single" w:sz="6" w:space="0" w:color="auto"/>
              <w:bottom w:val="single" w:sz="6" w:space="0" w:color="auto"/>
              <w:right w:val="single" w:sz="6" w:space="0" w:color="auto"/>
            </w:tcBorders>
            <w:shd w:val="solid" w:color="FFFFFF" w:fill="auto"/>
          </w:tcPr>
          <w:p w14:paraId="7144A10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w:t>
            </w:r>
          </w:p>
        </w:tc>
        <w:tc>
          <w:tcPr>
            <w:tcW w:w="90" w:type="dxa"/>
            <w:tcBorders>
              <w:top w:val="single" w:sz="6" w:space="0" w:color="auto"/>
              <w:left w:val="single" w:sz="6" w:space="0" w:color="auto"/>
              <w:bottom w:val="single" w:sz="6" w:space="0" w:color="auto"/>
            </w:tcBorders>
            <w:shd w:val="solid" w:color="FFFFFF" w:fill="auto"/>
          </w:tcPr>
          <w:p w14:paraId="70E293B5"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F4984DC"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Central</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Piedmont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27ABA6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CC13</w:t>
            </w:r>
          </w:p>
        </w:tc>
      </w:tr>
      <w:tr w:rsidR="00EB3758" w14:paraId="4BAA182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DE8EA9A"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14</w:t>
            </w:r>
          </w:p>
        </w:tc>
        <w:tc>
          <w:tcPr>
            <w:tcW w:w="900" w:type="dxa"/>
            <w:tcBorders>
              <w:top w:val="single" w:sz="6" w:space="0" w:color="auto"/>
              <w:bottom w:val="single" w:sz="6" w:space="0" w:color="auto"/>
              <w:right w:val="single" w:sz="6" w:space="0" w:color="auto"/>
            </w:tcBorders>
            <w:shd w:val="solid" w:color="FFFFFF" w:fill="auto"/>
          </w:tcPr>
          <w:p w14:paraId="7B7CE89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CD</w:t>
            </w:r>
          </w:p>
        </w:tc>
        <w:tc>
          <w:tcPr>
            <w:tcW w:w="90" w:type="dxa"/>
            <w:tcBorders>
              <w:top w:val="single" w:sz="6" w:space="0" w:color="auto"/>
              <w:left w:val="single" w:sz="6" w:space="0" w:color="auto"/>
              <w:bottom w:val="single" w:sz="6" w:space="0" w:color="auto"/>
            </w:tcBorders>
            <w:shd w:val="solid" w:color="FFFFFF" w:fill="auto"/>
          </w:tcPr>
          <w:p w14:paraId="01F3D01C"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1838157"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Cleveland</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D059ECE"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CC14</w:t>
            </w:r>
          </w:p>
        </w:tc>
      </w:tr>
      <w:tr w:rsidR="00EB3758" w14:paraId="2E4A4753"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76D5643"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15</w:t>
            </w:r>
          </w:p>
        </w:tc>
        <w:tc>
          <w:tcPr>
            <w:tcW w:w="900" w:type="dxa"/>
            <w:tcBorders>
              <w:top w:val="single" w:sz="6" w:space="0" w:color="auto"/>
              <w:bottom w:val="single" w:sz="6" w:space="0" w:color="auto"/>
              <w:right w:val="single" w:sz="6" w:space="0" w:color="auto"/>
            </w:tcBorders>
            <w:shd w:val="solid" w:color="FFFFFF" w:fill="auto"/>
          </w:tcPr>
          <w:p w14:paraId="1893327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CE</w:t>
            </w:r>
          </w:p>
        </w:tc>
        <w:tc>
          <w:tcPr>
            <w:tcW w:w="90" w:type="dxa"/>
            <w:tcBorders>
              <w:top w:val="single" w:sz="6" w:space="0" w:color="auto"/>
              <w:left w:val="single" w:sz="6" w:space="0" w:color="auto"/>
              <w:bottom w:val="single" w:sz="6" w:space="0" w:color="auto"/>
            </w:tcBorders>
            <w:shd w:val="solid" w:color="FFFFFF" w:fill="auto"/>
          </w:tcPr>
          <w:p w14:paraId="6202D451"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1981B44" w14:textId="77777777" w:rsidR="00EB3758" w:rsidRDefault="00EB3758" w:rsidP="00427785">
            <w:pPr>
              <w:rPr>
                <w:rFonts w:ascii="MS Sans Serif" w:hAnsi="MS Sans Serif"/>
                <w:snapToGrid w:val="0"/>
                <w:color w:val="000000"/>
              </w:rPr>
            </w:pPr>
            <w:r>
              <w:rPr>
                <w:rFonts w:ascii="MS Sans Serif" w:hAnsi="MS Sans Serif"/>
                <w:snapToGrid w:val="0"/>
                <w:color w:val="000000"/>
              </w:rPr>
              <w:t xml:space="preserve">Coastal </w:t>
            </w:r>
            <w:smartTag w:uri="urn:schemas-microsoft-com:office:smarttags" w:element="place">
              <w:smartTag w:uri="urn:schemas-microsoft-com:office:smarttags" w:element="PlaceName">
                <w:r>
                  <w:rPr>
                    <w:rFonts w:ascii="MS Sans Serif" w:hAnsi="MS Sans Serif"/>
                    <w:snapToGrid w:val="0"/>
                    <w:color w:val="000000"/>
                  </w:rPr>
                  <w:t>Carolina</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635AD27F"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CC15</w:t>
            </w:r>
          </w:p>
        </w:tc>
      </w:tr>
      <w:tr w:rsidR="00EB3758" w14:paraId="08DD0C72"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29F1849"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16</w:t>
            </w:r>
          </w:p>
        </w:tc>
        <w:tc>
          <w:tcPr>
            <w:tcW w:w="900" w:type="dxa"/>
            <w:tcBorders>
              <w:top w:val="single" w:sz="6" w:space="0" w:color="auto"/>
              <w:bottom w:val="single" w:sz="6" w:space="0" w:color="auto"/>
              <w:right w:val="single" w:sz="6" w:space="0" w:color="auto"/>
            </w:tcBorders>
            <w:shd w:val="solid" w:color="FFFFFF" w:fill="auto"/>
          </w:tcPr>
          <w:p w14:paraId="5C73A04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CF</w:t>
            </w:r>
          </w:p>
        </w:tc>
        <w:tc>
          <w:tcPr>
            <w:tcW w:w="90" w:type="dxa"/>
            <w:tcBorders>
              <w:top w:val="single" w:sz="6" w:space="0" w:color="auto"/>
              <w:left w:val="single" w:sz="6" w:space="0" w:color="auto"/>
              <w:bottom w:val="single" w:sz="6" w:space="0" w:color="auto"/>
            </w:tcBorders>
            <w:shd w:val="solid" w:color="FFFFFF" w:fill="auto"/>
          </w:tcPr>
          <w:p w14:paraId="5AD7C1A4"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22C9D3A" w14:textId="77777777" w:rsidR="00EB3758" w:rsidRDefault="00EB3758" w:rsidP="00427785">
            <w:pPr>
              <w:rPr>
                <w:rFonts w:ascii="MS Sans Serif" w:hAnsi="MS Sans Serif"/>
                <w:snapToGrid w:val="0"/>
                <w:color w:val="000000"/>
              </w:rPr>
            </w:pPr>
            <w:r>
              <w:rPr>
                <w:rFonts w:ascii="MS Sans Serif" w:hAnsi="MS Sans Serif"/>
                <w:snapToGrid w:val="0"/>
                <w:color w:val="000000"/>
              </w:rPr>
              <w:t xml:space="preserve">College of the </w:t>
            </w:r>
            <w:smartTag w:uri="urn:schemas-microsoft-com:office:smarttags" w:element="City">
              <w:smartTag w:uri="urn:schemas-microsoft-com:office:smarttags" w:element="place">
                <w:r>
                  <w:rPr>
                    <w:rFonts w:ascii="MS Sans Serif" w:hAnsi="MS Sans Serif"/>
                    <w:snapToGrid w:val="0"/>
                    <w:color w:val="000000"/>
                  </w:rPr>
                  <w:t>Albemarle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4987C1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CC16</w:t>
            </w:r>
          </w:p>
        </w:tc>
      </w:tr>
      <w:tr w:rsidR="00EB3758" w14:paraId="6669B2BB"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3332A96"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17</w:t>
            </w:r>
          </w:p>
        </w:tc>
        <w:tc>
          <w:tcPr>
            <w:tcW w:w="900" w:type="dxa"/>
            <w:tcBorders>
              <w:top w:val="single" w:sz="6" w:space="0" w:color="auto"/>
              <w:bottom w:val="single" w:sz="6" w:space="0" w:color="auto"/>
              <w:right w:val="single" w:sz="6" w:space="0" w:color="auto"/>
            </w:tcBorders>
            <w:shd w:val="solid" w:color="FFFFFF" w:fill="auto"/>
          </w:tcPr>
          <w:p w14:paraId="7CF586A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CG</w:t>
            </w:r>
          </w:p>
        </w:tc>
        <w:tc>
          <w:tcPr>
            <w:tcW w:w="90" w:type="dxa"/>
            <w:tcBorders>
              <w:top w:val="single" w:sz="6" w:space="0" w:color="auto"/>
              <w:left w:val="single" w:sz="6" w:space="0" w:color="auto"/>
              <w:bottom w:val="single" w:sz="6" w:space="0" w:color="auto"/>
            </w:tcBorders>
            <w:shd w:val="solid" w:color="FFFFFF" w:fill="auto"/>
          </w:tcPr>
          <w:p w14:paraId="723C4794"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D92E38B"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Craven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72FF8D4"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CC17</w:t>
            </w:r>
          </w:p>
        </w:tc>
      </w:tr>
      <w:tr w:rsidR="00EB3758" w14:paraId="29A22B8B"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FFAA857"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18</w:t>
            </w:r>
          </w:p>
        </w:tc>
        <w:tc>
          <w:tcPr>
            <w:tcW w:w="900" w:type="dxa"/>
            <w:tcBorders>
              <w:top w:val="single" w:sz="6" w:space="0" w:color="auto"/>
              <w:bottom w:val="single" w:sz="6" w:space="0" w:color="auto"/>
              <w:right w:val="single" w:sz="6" w:space="0" w:color="auto"/>
            </w:tcBorders>
            <w:shd w:val="solid" w:color="FFFFFF" w:fill="auto"/>
          </w:tcPr>
          <w:p w14:paraId="4E190DD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CH</w:t>
            </w:r>
          </w:p>
        </w:tc>
        <w:tc>
          <w:tcPr>
            <w:tcW w:w="90" w:type="dxa"/>
            <w:tcBorders>
              <w:top w:val="single" w:sz="6" w:space="0" w:color="auto"/>
              <w:left w:val="single" w:sz="6" w:space="0" w:color="auto"/>
              <w:bottom w:val="single" w:sz="6" w:space="0" w:color="auto"/>
            </w:tcBorders>
            <w:shd w:val="solid" w:color="FFFFFF" w:fill="auto"/>
          </w:tcPr>
          <w:p w14:paraId="3234AAE0"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98C2EF0" w14:textId="14B80BD1" w:rsidR="00EB3758" w:rsidRDefault="00EB3758" w:rsidP="00427785">
            <w:pPr>
              <w:rPr>
                <w:rFonts w:ascii="MS Sans Serif" w:hAnsi="MS Sans Serif"/>
                <w:snapToGrid w:val="0"/>
                <w:color w:val="000000"/>
              </w:rPr>
            </w:pPr>
            <w:r>
              <w:rPr>
                <w:rFonts w:ascii="MS Sans Serif" w:hAnsi="MS Sans Serif"/>
                <w:snapToGrid w:val="0"/>
                <w:color w:val="000000"/>
              </w:rPr>
              <w:t>Davidson</w:t>
            </w:r>
            <w:r w:rsidR="00772BD6">
              <w:rPr>
                <w:rFonts w:ascii="MS Sans Serif" w:hAnsi="MS Sans Serif"/>
                <w:snapToGrid w:val="0"/>
                <w:color w:val="000000"/>
              </w:rPr>
              <w:t>-Davie</w:t>
            </w:r>
            <w:r>
              <w:rPr>
                <w:rFonts w:ascii="MS Sans Serif" w:hAnsi="MS Sans Serif"/>
                <w:snapToGrid w:val="0"/>
                <w:color w:val="000000"/>
              </w:rPr>
              <w:t xml:space="preserve"> Community College</w:t>
            </w: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1F185AF"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CC18</w:t>
            </w:r>
          </w:p>
        </w:tc>
      </w:tr>
      <w:tr w:rsidR="00EB3758" w14:paraId="59B66784"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D6D4A57"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19</w:t>
            </w:r>
          </w:p>
        </w:tc>
        <w:tc>
          <w:tcPr>
            <w:tcW w:w="900" w:type="dxa"/>
            <w:tcBorders>
              <w:top w:val="single" w:sz="6" w:space="0" w:color="auto"/>
              <w:bottom w:val="single" w:sz="6" w:space="0" w:color="auto"/>
              <w:right w:val="single" w:sz="6" w:space="0" w:color="auto"/>
            </w:tcBorders>
            <w:shd w:val="solid" w:color="FFFFFF" w:fill="auto"/>
          </w:tcPr>
          <w:p w14:paraId="74C9CA1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CJ</w:t>
            </w:r>
          </w:p>
        </w:tc>
        <w:tc>
          <w:tcPr>
            <w:tcW w:w="90" w:type="dxa"/>
            <w:tcBorders>
              <w:top w:val="single" w:sz="6" w:space="0" w:color="auto"/>
              <w:left w:val="single" w:sz="6" w:space="0" w:color="auto"/>
              <w:bottom w:val="single" w:sz="6" w:space="0" w:color="auto"/>
            </w:tcBorders>
            <w:shd w:val="solid" w:color="FFFFFF" w:fill="auto"/>
          </w:tcPr>
          <w:p w14:paraId="7C5AB010"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E21629A"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Durham</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Technical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1D0937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CC19</w:t>
            </w:r>
          </w:p>
        </w:tc>
      </w:tr>
      <w:tr w:rsidR="00EB3758" w14:paraId="4CFFB7E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5AE15A2"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20</w:t>
            </w:r>
          </w:p>
        </w:tc>
        <w:tc>
          <w:tcPr>
            <w:tcW w:w="900" w:type="dxa"/>
            <w:tcBorders>
              <w:top w:val="single" w:sz="6" w:space="0" w:color="auto"/>
              <w:bottom w:val="single" w:sz="6" w:space="0" w:color="auto"/>
              <w:right w:val="single" w:sz="6" w:space="0" w:color="auto"/>
            </w:tcBorders>
            <w:shd w:val="solid" w:color="FFFFFF" w:fill="auto"/>
          </w:tcPr>
          <w:p w14:paraId="4280CA2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CK</w:t>
            </w:r>
          </w:p>
        </w:tc>
        <w:tc>
          <w:tcPr>
            <w:tcW w:w="90" w:type="dxa"/>
            <w:tcBorders>
              <w:top w:val="single" w:sz="6" w:space="0" w:color="auto"/>
              <w:left w:val="single" w:sz="6" w:space="0" w:color="auto"/>
              <w:bottom w:val="single" w:sz="6" w:space="0" w:color="auto"/>
            </w:tcBorders>
            <w:shd w:val="solid" w:color="FFFFFF" w:fill="auto"/>
          </w:tcPr>
          <w:p w14:paraId="61D8465B"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41100B7E"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Edgecombe</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F95B2F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CC20</w:t>
            </w:r>
          </w:p>
        </w:tc>
      </w:tr>
      <w:tr w:rsidR="00EB3758" w14:paraId="31100934"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93ECA4D"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21</w:t>
            </w:r>
          </w:p>
        </w:tc>
        <w:tc>
          <w:tcPr>
            <w:tcW w:w="900" w:type="dxa"/>
            <w:tcBorders>
              <w:top w:val="single" w:sz="6" w:space="0" w:color="auto"/>
              <w:bottom w:val="single" w:sz="6" w:space="0" w:color="auto"/>
              <w:right w:val="single" w:sz="6" w:space="0" w:color="auto"/>
            </w:tcBorders>
            <w:shd w:val="solid" w:color="FFFFFF" w:fill="auto"/>
          </w:tcPr>
          <w:p w14:paraId="48E393F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CL</w:t>
            </w:r>
          </w:p>
        </w:tc>
        <w:tc>
          <w:tcPr>
            <w:tcW w:w="90" w:type="dxa"/>
            <w:tcBorders>
              <w:top w:val="single" w:sz="6" w:space="0" w:color="auto"/>
              <w:left w:val="single" w:sz="6" w:space="0" w:color="auto"/>
              <w:bottom w:val="single" w:sz="6" w:space="0" w:color="auto"/>
            </w:tcBorders>
            <w:shd w:val="solid" w:color="FFFFFF" w:fill="auto"/>
          </w:tcPr>
          <w:p w14:paraId="5DB1043C"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6AFC5BE5"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Fayetteville</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Technical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6E5E41D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CC21</w:t>
            </w:r>
          </w:p>
        </w:tc>
      </w:tr>
      <w:tr w:rsidR="00EB3758" w14:paraId="096CAB2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F3DE9BB"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22</w:t>
            </w:r>
          </w:p>
        </w:tc>
        <w:tc>
          <w:tcPr>
            <w:tcW w:w="900" w:type="dxa"/>
            <w:tcBorders>
              <w:top w:val="single" w:sz="6" w:space="0" w:color="auto"/>
              <w:bottom w:val="single" w:sz="6" w:space="0" w:color="auto"/>
              <w:right w:val="single" w:sz="6" w:space="0" w:color="auto"/>
            </w:tcBorders>
            <w:shd w:val="solid" w:color="FFFFFF" w:fill="auto"/>
          </w:tcPr>
          <w:p w14:paraId="153C7C9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CM</w:t>
            </w:r>
          </w:p>
        </w:tc>
        <w:tc>
          <w:tcPr>
            <w:tcW w:w="90" w:type="dxa"/>
            <w:tcBorders>
              <w:top w:val="single" w:sz="6" w:space="0" w:color="auto"/>
              <w:left w:val="single" w:sz="6" w:space="0" w:color="auto"/>
              <w:bottom w:val="single" w:sz="6" w:space="0" w:color="auto"/>
            </w:tcBorders>
            <w:shd w:val="solid" w:color="FFFFFF" w:fill="auto"/>
          </w:tcPr>
          <w:p w14:paraId="4C851FB3"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A1DE44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Forsyth</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Technical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7CA5D5D"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CC22</w:t>
            </w:r>
          </w:p>
        </w:tc>
      </w:tr>
      <w:tr w:rsidR="00EB3758" w14:paraId="3330CC6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8EDCB82"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23</w:t>
            </w:r>
          </w:p>
        </w:tc>
        <w:tc>
          <w:tcPr>
            <w:tcW w:w="900" w:type="dxa"/>
            <w:tcBorders>
              <w:top w:val="single" w:sz="6" w:space="0" w:color="auto"/>
              <w:bottom w:val="single" w:sz="6" w:space="0" w:color="auto"/>
              <w:right w:val="single" w:sz="6" w:space="0" w:color="auto"/>
            </w:tcBorders>
            <w:shd w:val="solid" w:color="FFFFFF" w:fill="auto"/>
          </w:tcPr>
          <w:p w14:paraId="45A50EBF"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CN</w:t>
            </w:r>
          </w:p>
        </w:tc>
        <w:tc>
          <w:tcPr>
            <w:tcW w:w="90" w:type="dxa"/>
            <w:tcBorders>
              <w:top w:val="single" w:sz="6" w:space="0" w:color="auto"/>
              <w:left w:val="single" w:sz="6" w:space="0" w:color="auto"/>
              <w:bottom w:val="single" w:sz="6" w:space="0" w:color="auto"/>
            </w:tcBorders>
            <w:shd w:val="solid" w:color="FFFFFF" w:fill="auto"/>
          </w:tcPr>
          <w:p w14:paraId="68338B07"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C697CFD"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Gaston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5ECA98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CC23</w:t>
            </w:r>
          </w:p>
        </w:tc>
      </w:tr>
      <w:tr w:rsidR="00EB3758" w14:paraId="4620E38A"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21D7662"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24</w:t>
            </w:r>
          </w:p>
        </w:tc>
        <w:tc>
          <w:tcPr>
            <w:tcW w:w="900" w:type="dxa"/>
            <w:tcBorders>
              <w:top w:val="single" w:sz="6" w:space="0" w:color="auto"/>
              <w:bottom w:val="single" w:sz="6" w:space="0" w:color="auto"/>
              <w:right w:val="single" w:sz="6" w:space="0" w:color="auto"/>
            </w:tcBorders>
            <w:shd w:val="solid" w:color="FFFFFF" w:fill="auto"/>
          </w:tcPr>
          <w:p w14:paraId="6F5382F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CP</w:t>
            </w:r>
          </w:p>
        </w:tc>
        <w:tc>
          <w:tcPr>
            <w:tcW w:w="90" w:type="dxa"/>
            <w:tcBorders>
              <w:top w:val="single" w:sz="6" w:space="0" w:color="auto"/>
              <w:left w:val="single" w:sz="6" w:space="0" w:color="auto"/>
              <w:bottom w:val="single" w:sz="6" w:space="0" w:color="auto"/>
            </w:tcBorders>
            <w:shd w:val="solid" w:color="FFFFFF" w:fill="auto"/>
          </w:tcPr>
          <w:p w14:paraId="71D31C68"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4AF5BF49"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Guilford</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Technical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0B836F3"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CC24</w:t>
            </w:r>
          </w:p>
        </w:tc>
      </w:tr>
      <w:tr w:rsidR="00EB3758" w14:paraId="40E77FDA"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6C6081C"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25</w:t>
            </w:r>
          </w:p>
        </w:tc>
        <w:tc>
          <w:tcPr>
            <w:tcW w:w="900" w:type="dxa"/>
            <w:tcBorders>
              <w:top w:val="single" w:sz="6" w:space="0" w:color="auto"/>
              <w:bottom w:val="single" w:sz="6" w:space="0" w:color="auto"/>
              <w:right w:val="single" w:sz="6" w:space="0" w:color="auto"/>
            </w:tcBorders>
            <w:shd w:val="solid" w:color="FFFFFF" w:fill="auto"/>
          </w:tcPr>
          <w:p w14:paraId="2632185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CQ</w:t>
            </w:r>
          </w:p>
        </w:tc>
        <w:tc>
          <w:tcPr>
            <w:tcW w:w="90" w:type="dxa"/>
            <w:tcBorders>
              <w:top w:val="single" w:sz="6" w:space="0" w:color="auto"/>
              <w:left w:val="single" w:sz="6" w:space="0" w:color="auto"/>
              <w:bottom w:val="single" w:sz="6" w:space="0" w:color="auto"/>
            </w:tcBorders>
            <w:shd w:val="solid" w:color="FFFFFF" w:fill="auto"/>
          </w:tcPr>
          <w:p w14:paraId="6ADD0A0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CD6F734"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Halifax</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DD64A2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CC25</w:t>
            </w:r>
          </w:p>
        </w:tc>
      </w:tr>
      <w:tr w:rsidR="00EB3758" w14:paraId="52EE32E4"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C20A531"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26</w:t>
            </w:r>
          </w:p>
        </w:tc>
        <w:tc>
          <w:tcPr>
            <w:tcW w:w="900" w:type="dxa"/>
            <w:tcBorders>
              <w:top w:val="single" w:sz="6" w:space="0" w:color="auto"/>
              <w:bottom w:val="single" w:sz="6" w:space="0" w:color="auto"/>
              <w:right w:val="single" w:sz="6" w:space="0" w:color="auto"/>
            </w:tcBorders>
            <w:shd w:val="solid" w:color="FFFFFF" w:fill="auto"/>
          </w:tcPr>
          <w:p w14:paraId="5B6DF7D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CR</w:t>
            </w:r>
          </w:p>
        </w:tc>
        <w:tc>
          <w:tcPr>
            <w:tcW w:w="90" w:type="dxa"/>
            <w:tcBorders>
              <w:top w:val="single" w:sz="6" w:space="0" w:color="auto"/>
              <w:left w:val="single" w:sz="6" w:space="0" w:color="auto"/>
              <w:bottom w:val="single" w:sz="6" w:space="0" w:color="auto"/>
            </w:tcBorders>
            <w:shd w:val="solid" w:color="FFFFFF" w:fill="auto"/>
          </w:tcPr>
          <w:p w14:paraId="24CA691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42EA413"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Haywood</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C59250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CC26</w:t>
            </w:r>
          </w:p>
        </w:tc>
      </w:tr>
      <w:tr w:rsidR="00EB3758" w14:paraId="4589B13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17233B42"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27</w:t>
            </w:r>
          </w:p>
        </w:tc>
        <w:tc>
          <w:tcPr>
            <w:tcW w:w="900" w:type="dxa"/>
            <w:tcBorders>
              <w:top w:val="single" w:sz="6" w:space="0" w:color="auto"/>
              <w:bottom w:val="single" w:sz="6" w:space="0" w:color="auto"/>
              <w:right w:val="single" w:sz="6" w:space="0" w:color="auto"/>
            </w:tcBorders>
            <w:shd w:val="solid" w:color="FFFFFF" w:fill="auto"/>
          </w:tcPr>
          <w:p w14:paraId="3DA5121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CS</w:t>
            </w:r>
          </w:p>
        </w:tc>
        <w:tc>
          <w:tcPr>
            <w:tcW w:w="90" w:type="dxa"/>
            <w:tcBorders>
              <w:top w:val="single" w:sz="6" w:space="0" w:color="auto"/>
              <w:left w:val="single" w:sz="6" w:space="0" w:color="auto"/>
              <w:bottom w:val="single" w:sz="6" w:space="0" w:color="auto"/>
            </w:tcBorders>
            <w:shd w:val="solid" w:color="FFFFFF" w:fill="auto"/>
          </w:tcPr>
          <w:p w14:paraId="00B2EDC5"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6B585F0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Isothermal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8418B4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CC27</w:t>
            </w:r>
          </w:p>
        </w:tc>
      </w:tr>
      <w:tr w:rsidR="00EB3758" w14:paraId="4CFA484F"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E602CD9"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28</w:t>
            </w:r>
          </w:p>
        </w:tc>
        <w:tc>
          <w:tcPr>
            <w:tcW w:w="900" w:type="dxa"/>
            <w:tcBorders>
              <w:top w:val="single" w:sz="6" w:space="0" w:color="auto"/>
              <w:bottom w:val="single" w:sz="6" w:space="0" w:color="auto"/>
              <w:right w:val="single" w:sz="6" w:space="0" w:color="auto"/>
            </w:tcBorders>
            <w:shd w:val="solid" w:color="FFFFFF" w:fill="auto"/>
          </w:tcPr>
          <w:p w14:paraId="5AA55E9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CT</w:t>
            </w:r>
          </w:p>
        </w:tc>
        <w:tc>
          <w:tcPr>
            <w:tcW w:w="90" w:type="dxa"/>
            <w:tcBorders>
              <w:top w:val="single" w:sz="6" w:space="0" w:color="auto"/>
              <w:left w:val="single" w:sz="6" w:space="0" w:color="auto"/>
              <w:bottom w:val="single" w:sz="6" w:space="0" w:color="auto"/>
            </w:tcBorders>
            <w:shd w:val="solid" w:color="FFFFFF" w:fill="auto"/>
          </w:tcPr>
          <w:p w14:paraId="1529C36F"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E3B3C3B"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James</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Sprunt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182AB8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CC28</w:t>
            </w:r>
          </w:p>
        </w:tc>
      </w:tr>
      <w:tr w:rsidR="00EB3758" w14:paraId="4017B393"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8B4CD60"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29</w:t>
            </w:r>
          </w:p>
        </w:tc>
        <w:tc>
          <w:tcPr>
            <w:tcW w:w="900" w:type="dxa"/>
            <w:tcBorders>
              <w:top w:val="single" w:sz="6" w:space="0" w:color="auto"/>
              <w:bottom w:val="single" w:sz="6" w:space="0" w:color="auto"/>
              <w:right w:val="single" w:sz="6" w:space="0" w:color="auto"/>
            </w:tcBorders>
            <w:shd w:val="solid" w:color="FFFFFF" w:fill="auto"/>
          </w:tcPr>
          <w:p w14:paraId="0B37AB14"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CU</w:t>
            </w:r>
          </w:p>
        </w:tc>
        <w:tc>
          <w:tcPr>
            <w:tcW w:w="90" w:type="dxa"/>
            <w:tcBorders>
              <w:top w:val="single" w:sz="6" w:space="0" w:color="auto"/>
              <w:left w:val="single" w:sz="6" w:space="0" w:color="auto"/>
              <w:bottom w:val="single" w:sz="6" w:space="0" w:color="auto"/>
            </w:tcBorders>
            <w:shd w:val="solid" w:color="FFFFFF" w:fill="auto"/>
          </w:tcPr>
          <w:p w14:paraId="71AAD184"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41349815"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Johnston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9BB437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CC29</w:t>
            </w:r>
          </w:p>
        </w:tc>
      </w:tr>
      <w:tr w:rsidR="00EB3758" w14:paraId="1DA7F245"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6850E099"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30</w:t>
            </w:r>
          </w:p>
        </w:tc>
        <w:tc>
          <w:tcPr>
            <w:tcW w:w="900" w:type="dxa"/>
            <w:tcBorders>
              <w:top w:val="single" w:sz="6" w:space="0" w:color="auto"/>
              <w:bottom w:val="single" w:sz="6" w:space="0" w:color="auto"/>
              <w:right w:val="single" w:sz="6" w:space="0" w:color="auto"/>
            </w:tcBorders>
            <w:shd w:val="solid" w:color="FFFFFF" w:fill="auto"/>
          </w:tcPr>
          <w:p w14:paraId="01C53164"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CV</w:t>
            </w:r>
          </w:p>
        </w:tc>
        <w:tc>
          <w:tcPr>
            <w:tcW w:w="90" w:type="dxa"/>
            <w:tcBorders>
              <w:top w:val="single" w:sz="6" w:space="0" w:color="auto"/>
              <w:left w:val="single" w:sz="6" w:space="0" w:color="auto"/>
              <w:bottom w:val="single" w:sz="6" w:space="0" w:color="auto"/>
            </w:tcBorders>
            <w:shd w:val="solid" w:color="FFFFFF" w:fill="auto"/>
          </w:tcPr>
          <w:p w14:paraId="05047AB6"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7E44022"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Lenoir</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A7D22A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CC30</w:t>
            </w:r>
          </w:p>
        </w:tc>
      </w:tr>
      <w:tr w:rsidR="00EB3758" w14:paraId="4CE011A5"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F0611BA"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31</w:t>
            </w:r>
          </w:p>
        </w:tc>
        <w:tc>
          <w:tcPr>
            <w:tcW w:w="900" w:type="dxa"/>
            <w:tcBorders>
              <w:top w:val="single" w:sz="6" w:space="0" w:color="auto"/>
              <w:bottom w:val="single" w:sz="6" w:space="0" w:color="auto"/>
              <w:right w:val="single" w:sz="6" w:space="0" w:color="auto"/>
            </w:tcBorders>
            <w:shd w:val="solid" w:color="FFFFFF" w:fill="auto"/>
          </w:tcPr>
          <w:p w14:paraId="36E2E7C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CW</w:t>
            </w:r>
          </w:p>
        </w:tc>
        <w:tc>
          <w:tcPr>
            <w:tcW w:w="90" w:type="dxa"/>
            <w:tcBorders>
              <w:top w:val="single" w:sz="6" w:space="0" w:color="auto"/>
              <w:left w:val="single" w:sz="6" w:space="0" w:color="auto"/>
              <w:bottom w:val="single" w:sz="6" w:space="0" w:color="auto"/>
            </w:tcBorders>
            <w:shd w:val="solid" w:color="FFFFFF" w:fill="auto"/>
          </w:tcPr>
          <w:p w14:paraId="39E34963"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5F83315B"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Martin</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7095A7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CC31</w:t>
            </w:r>
          </w:p>
        </w:tc>
      </w:tr>
      <w:tr w:rsidR="00EB3758" w14:paraId="21097F48"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B11CA4C"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32</w:t>
            </w:r>
          </w:p>
        </w:tc>
        <w:tc>
          <w:tcPr>
            <w:tcW w:w="900" w:type="dxa"/>
            <w:tcBorders>
              <w:top w:val="single" w:sz="6" w:space="0" w:color="auto"/>
              <w:bottom w:val="single" w:sz="6" w:space="0" w:color="auto"/>
              <w:right w:val="single" w:sz="6" w:space="0" w:color="auto"/>
            </w:tcBorders>
            <w:shd w:val="solid" w:color="FFFFFF" w:fill="auto"/>
          </w:tcPr>
          <w:p w14:paraId="048A99E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CX</w:t>
            </w:r>
          </w:p>
        </w:tc>
        <w:tc>
          <w:tcPr>
            <w:tcW w:w="90" w:type="dxa"/>
            <w:tcBorders>
              <w:top w:val="single" w:sz="6" w:space="0" w:color="auto"/>
              <w:left w:val="single" w:sz="6" w:space="0" w:color="auto"/>
              <w:bottom w:val="single" w:sz="6" w:space="0" w:color="auto"/>
            </w:tcBorders>
            <w:shd w:val="solid" w:color="FFFFFF" w:fill="auto"/>
          </w:tcPr>
          <w:p w14:paraId="543F1A05"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3D60943"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Mayland</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52E01D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CC32</w:t>
            </w:r>
          </w:p>
        </w:tc>
      </w:tr>
      <w:tr w:rsidR="00EB3758" w14:paraId="5B4BFF6B"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464AF66"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33</w:t>
            </w:r>
          </w:p>
        </w:tc>
        <w:tc>
          <w:tcPr>
            <w:tcW w:w="900" w:type="dxa"/>
            <w:tcBorders>
              <w:top w:val="single" w:sz="6" w:space="0" w:color="auto"/>
              <w:bottom w:val="single" w:sz="6" w:space="0" w:color="auto"/>
              <w:right w:val="single" w:sz="6" w:space="0" w:color="auto"/>
            </w:tcBorders>
            <w:shd w:val="solid" w:color="FFFFFF" w:fill="auto"/>
          </w:tcPr>
          <w:p w14:paraId="25A97F0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CY</w:t>
            </w:r>
          </w:p>
        </w:tc>
        <w:tc>
          <w:tcPr>
            <w:tcW w:w="90" w:type="dxa"/>
            <w:tcBorders>
              <w:top w:val="single" w:sz="6" w:space="0" w:color="auto"/>
              <w:left w:val="single" w:sz="6" w:space="0" w:color="auto"/>
              <w:bottom w:val="single" w:sz="6" w:space="0" w:color="auto"/>
            </w:tcBorders>
            <w:shd w:val="solid" w:color="FFFFFF" w:fill="auto"/>
          </w:tcPr>
          <w:p w14:paraId="727BC287"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0E2A6B6"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McDowell</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Technical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62225CB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CC33</w:t>
            </w:r>
          </w:p>
        </w:tc>
      </w:tr>
      <w:tr w:rsidR="00EB3758" w14:paraId="4E1C7130"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D92A063"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34</w:t>
            </w:r>
          </w:p>
        </w:tc>
        <w:tc>
          <w:tcPr>
            <w:tcW w:w="900" w:type="dxa"/>
            <w:tcBorders>
              <w:top w:val="single" w:sz="6" w:space="0" w:color="auto"/>
              <w:bottom w:val="single" w:sz="6" w:space="0" w:color="auto"/>
              <w:right w:val="single" w:sz="6" w:space="0" w:color="auto"/>
            </w:tcBorders>
            <w:shd w:val="solid" w:color="FFFFFF" w:fill="auto"/>
          </w:tcPr>
          <w:p w14:paraId="4D1FBAC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CZ</w:t>
            </w:r>
          </w:p>
        </w:tc>
        <w:tc>
          <w:tcPr>
            <w:tcW w:w="90" w:type="dxa"/>
            <w:tcBorders>
              <w:top w:val="single" w:sz="6" w:space="0" w:color="auto"/>
              <w:left w:val="single" w:sz="6" w:space="0" w:color="auto"/>
              <w:bottom w:val="single" w:sz="6" w:space="0" w:color="auto"/>
            </w:tcBorders>
            <w:shd w:val="solid" w:color="FFFFFF" w:fill="auto"/>
          </w:tcPr>
          <w:p w14:paraId="554C27D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65A19056"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Mitchell</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22B31A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CC34</w:t>
            </w:r>
          </w:p>
        </w:tc>
      </w:tr>
      <w:tr w:rsidR="00EB3758" w14:paraId="40C5BAF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42F2E02"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35</w:t>
            </w:r>
          </w:p>
        </w:tc>
        <w:tc>
          <w:tcPr>
            <w:tcW w:w="900" w:type="dxa"/>
            <w:tcBorders>
              <w:top w:val="single" w:sz="6" w:space="0" w:color="auto"/>
              <w:bottom w:val="single" w:sz="6" w:space="0" w:color="auto"/>
              <w:right w:val="single" w:sz="6" w:space="0" w:color="auto"/>
            </w:tcBorders>
            <w:shd w:val="solid" w:color="FFFFFF" w:fill="auto"/>
          </w:tcPr>
          <w:p w14:paraId="1104DEF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D0</w:t>
            </w:r>
          </w:p>
        </w:tc>
        <w:tc>
          <w:tcPr>
            <w:tcW w:w="90" w:type="dxa"/>
            <w:tcBorders>
              <w:top w:val="single" w:sz="6" w:space="0" w:color="auto"/>
              <w:left w:val="single" w:sz="6" w:space="0" w:color="auto"/>
              <w:bottom w:val="single" w:sz="6" w:space="0" w:color="auto"/>
            </w:tcBorders>
            <w:shd w:val="solid" w:color="FFFFFF" w:fill="auto"/>
          </w:tcPr>
          <w:p w14:paraId="02EA7437"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7790438"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Montgomery</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78A3D8E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CC35</w:t>
            </w:r>
          </w:p>
        </w:tc>
      </w:tr>
      <w:tr w:rsidR="00EB3758" w14:paraId="4ABF0248"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CA2587D"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36</w:t>
            </w:r>
          </w:p>
        </w:tc>
        <w:tc>
          <w:tcPr>
            <w:tcW w:w="900" w:type="dxa"/>
            <w:tcBorders>
              <w:top w:val="single" w:sz="6" w:space="0" w:color="auto"/>
              <w:bottom w:val="single" w:sz="6" w:space="0" w:color="auto"/>
              <w:right w:val="single" w:sz="6" w:space="0" w:color="auto"/>
            </w:tcBorders>
            <w:shd w:val="solid" w:color="FFFFFF" w:fill="auto"/>
          </w:tcPr>
          <w:p w14:paraId="7B29AD8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D1</w:t>
            </w:r>
          </w:p>
        </w:tc>
        <w:tc>
          <w:tcPr>
            <w:tcW w:w="90" w:type="dxa"/>
            <w:tcBorders>
              <w:top w:val="single" w:sz="6" w:space="0" w:color="auto"/>
              <w:left w:val="single" w:sz="6" w:space="0" w:color="auto"/>
              <w:bottom w:val="single" w:sz="6" w:space="0" w:color="auto"/>
            </w:tcBorders>
            <w:shd w:val="solid" w:color="FFFFFF" w:fill="auto"/>
          </w:tcPr>
          <w:p w14:paraId="08F38A56"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20EBAD2"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Nash</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A21B8E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CC36</w:t>
            </w:r>
          </w:p>
        </w:tc>
      </w:tr>
      <w:tr w:rsidR="00EB3758" w14:paraId="566275A2"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1CC773DE"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37</w:t>
            </w:r>
          </w:p>
        </w:tc>
        <w:tc>
          <w:tcPr>
            <w:tcW w:w="900" w:type="dxa"/>
            <w:tcBorders>
              <w:top w:val="single" w:sz="6" w:space="0" w:color="auto"/>
              <w:bottom w:val="single" w:sz="6" w:space="0" w:color="auto"/>
              <w:right w:val="single" w:sz="6" w:space="0" w:color="auto"/>
            </w:tcBorders>
            <w:shd w:val="solid" w:color="FFFFFF" w:fill="auto"/>
          </w:tcPr>
          <w:p w14:paraId="2AB4CF8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D2</w:t>
            </w:r>
          </w:p>
        </w:tc>
        <w:tc>
          <w:tcPr>
            <w:tcW w:w="90" w:type="dxa"/>
            <w:tcBorders>
              <w:top w:val="single" w:sz="6" w:space="0" w:color="auto"/>
              <w:left w:val="single" w:sz="6" w:space="0" w:color="auto"/>
              <w:bottom w:val="single" w:sz="6" w:space="0" w:color="auto"/>
            </w:tcBorders>
            <w:shd w:val="solid" w:color="FFFFFF" w:fill="auto"/>
          </w:tcPr>
          <w:p w14:paraId="758A83F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5DF5D30D"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Pamlico</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AAE93A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CC37</w:t>
            </w:r>
          </w:p>
        </w:tc>
      </w:tr>
      <w:tr w:rsidR="00EB3758" w14:paraId="561E336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1A47A225"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38</w:t>
            </w:r>
          </w:p>
        </w:tc>
        <w:tc>
          <w:tcPr>
            <w:tcW w:w="900" w:type="dxa"/>
            <w:tcBorders>
              <w:top w:val="single" w:sz="6" w:space="0" w:color="auto"/>
              <w:bottom w:val="single" w:sz="6" w:space="0" w:color="auto"/>
              <w:right w:val="single" w:sz="6" w:space="0" w:color="auto"/>
            </w:tcBorders>
            <w:shd w:val="solid" w:color="FFFFFF" w:fill="auto"/>
          </w:tcPr>
          <w:p w14:paraId="4924143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D3</w:t>
            </w:r>
          </w:p>
        </w:tc>
        <w:tc>
          <w:tcPr>
            <w:tcW w:w="90" w:type="dxa"/>
            <w:tcBorders>
              <w:top w:val="single" w:sz="6" w:space="0" w:color="auto"/>
              <w:left w:val="single" w:sz="6" w:space="0" w:color="auto"/>
              <w:bottom w:val="single" w:sz="6" w:space="0" w:color="auto"/>
            </w:tcBorders>
            <w:shd w:val="solid" w:color="FFFFFF" w:fill="auto"/>
          </w:tcPr>
          <w:p w14:paraId="0827A932"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4928D45"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Piedmont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542936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CC38</w:t>
            </w:r>
          </w:p>
        </w:tc>
      </w:tr>
      <w:tr w:rsidR="00EB3758" w14:paraId="1A9F40C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FA60354"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39</w:t>
            </w:r>
          </w:p>
        </w:tc>
        <w:tc>
          <w:tcPr>
            <w:tcW w:w="900" w:type="dxa"/>
            <w:tcBorders>
              <w:top w:val="single" w:sz="6" w:space="0" w:color="auto"/>
              <w:bottom w:val="single" w:sz="6" w:space="0" w:color="auto"/>
              <w:right w:val="single" w:sz="6" w:space="0" w:color="auto"/>
            </w:tcBorders>
            <w:shd w:val="solid" w:color="FFFFFF" w:fill="auto"/>
          </w:tcPr>
          <w:p w14:paraId="7EDA875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D4</w:t>
            </w:r>
          </w:p>
        </w:tc>
        <w:tc>
          <w:tcPr>
            <w:tcW w:w="90" w:type="dxa"/>
            <w:tcBorders>
              <w:top w:val="single" w:sz="6" w:space="0" w:color="auto"/>
              <w:left w:val="single" w:sz="6" w:space="0" w:color="auto"/>
              <w:bottom w:val="single" w:sz="6" w:space="0" w:color="auto"/>
            </w:tcBorders>
            <w:shd w:val="solid" w:color="FFFFFF" w:fill="auto"/>
          </w:tcPr>
          <w:p w14:paraId="20877FBC"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93C027A"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Pitt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E37B81E"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CC39</w:t>
            </w:r>
          </w:p>
        </w:tc>
      </w:tr>
      <w:tr w:rsidR="00EB3758" w14:paraId="703B20E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6A84B8A7"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40</w:t>
            </w:r>
          </w:p>
        </w:tc>
        <w:tc>
          <w:tcPr>
            <w:tcW w:w="900" w:type="dxa"/>
            <w:tcBorders>
              <w:top w:val="single" w:sz="6" w:space="0" w:color="auto"/>
              <w:bottom w:val="single" w:sz="6" w:space="0" w:color="auto"/>
              <w:right w:val="single" w:sz="6" w:space="0" w:color="auto"/>
            </w:tcBorders>
            <w:shd w:val="solid" w:color="FFFFFF" w:fill="auto"/>
          </w:tcPr>
          <w:p w14:paraId="00ACDEE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D5</w:t>
            </w:r>
          </w:p>
        </w:tc>
        <w:tc>
          <w:tcPr>
            <w:tcW w:w="90" w:type="dxa"/>
            <w:tcBorders>
              <w:top w:val="single" w:sz="6" w:space="0" w:color="auto"/>
              <w:left w:val="single" w:sz="6" w:space="0" w:color="auto"/>
              <w:bottom w:val="single" w:sz="6" w:space="0" w:color="auto"/>
            </w:tcBorders>
            <w:shd w:val="solid" w:color="FFFFFF" w:fill="auto"/>
          </w:tcPr>
          <w:p w14:paraId="02EEE2B0"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17B2CF8"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Randolph</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D78D97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CC40</w:t>
            </w:r>
          </w:p>
        </w:tc>
      </w:tr>
      <w:tr w:rsidR="00EB3758" w14:paraId="2A78448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76A1360"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41</w:t>
            </w:r>
          </w:p>
        </w:tc>
        <w:tc>
          <w:tcPr>
            <w:tcW w:w="900" w:type="dxa"/>
            <w:tcBorders>
              <w:top w:val="single" w:sz="6" w:space="0" w:color="auto"/>
              <w:bottom w:val="single" w:sz="6" w:space="0" w:color="auto"/>
              <w:right w:val="single" w:sz="6" w:space="0" w:color="auto"/>
            </w:tcBorders>
            <w:shd w:val="solid" w:color="FFFFFF" w:fill="auto"/>
          </w:tcPr>
          <w:p w14:paraId="2B7616D4"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D6</w:t>
            </w:r>
          </w:p>
        </w:tc>
        <w:tc>
          <w:tcPr>
            <w:tcW w:w="90" w:type="dxa"/>
            <w:tcBorders>
              <w:top w:val="single" w:sz="6" w:space="0" w:color="auto"/>
              <w:left w:val="single" w:sz="6" w:space="0" w:color="auto"/>
              <w:bottom w:val="single" w:sz="6" w:space="0" w:color="auto"/>
            </w:tcBorders>
            <w:shd w:val="solid" w:color="FFFFFF" w:fill="auto"/>
          </w:tcPr>
          <w:p w14:paraId="6C568B65"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4F2E8D5D"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Richmond</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7F2036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CC41</w:t>
            </w:r>
          </w:p>
        </w:tc>
      </w:tr>
      <w:tr w:rsidR="00EB3758" w14:paraId="4E3685D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62E8DF67"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42</w:t>
            </w:r>
          </w:p>
        </w:tc>
        <w:tc>
          <w:tcPr>
            <w:tcW w:w="900" w:type="dxa"/>
            <w:tcBorders>
              <w:top w:val="single" w:sz="6" w:space="0" w:color="auto"/>
              <w:bottom w:val="single" w:sz="6" w:space="0" w:color="auto"/>
              <w:right w:val="single" w:sz="6" w:space="0" w:color="auto"/>
            </w:tcBorders>
            <w:shd w:val="solid" w:color="FFFFFF" w:fill="auto"/>
          </w:tcPr>
          <w:p w14:paraId="1ACF6AC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D7</w:t>
            </w:r>
          </w:p>
        </w:tc>
        <w:tc>
          <w:tcPr>
            <w:tcW w:w="90" w:type="dxa"/>
            <w:tcBorders>
              <w:top w:val="single" w:sz="6" w:space="0" w:color="auto"/>
              <w:left w:val="single" w:sz="6" w:space="0" w:color="auto"/>
              <w:bottom w:val="single" w:sz="6" w:space="0" w:color="auto"/>
            </w:tcBorders>
            <w:shd w:val="solid" w:color="FFFFFF" w:fill="auto"/>
          </w:tcPr>
          <w:p w14:paraId="223F3D04"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6F14803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Roanoke-Chowan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086CB6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CC42</w:t>
            </w:r>
          </w:p>
        </w:tc>
      </w:tr>
      <w:tr w:rsidR="00EB3758" w14:paraId="5A143104"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1CB944E7"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43</w:t>
            </w:r>
          </w:p>
        </w:tc>
        <w:tc>
          <w:tcPr>
            <w:tcW w:w="900" w:type="dxa"/>
            <w:tcBorders>
              <w:top w:val="single" w:sz="6" w:space="0" w:color="auto"/>
              <w:bottom w:val="single" w:sz="6" w:space="0" w:color="auto"/>
              <w:right w:val="single" w:sz="6" w:space="0" w:color="auto"/>
            </w:tcBorders>
            <w:shd w:val="solid" w:color="FFFFFF" w:fill="auto"/>
          </w:tcPr>
          <w:p w14:paraId="0A950EE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D8</w:t>
            </w:r>
          </w:p>
        </w:tc>
        <w:tc>
          <w:tcPr>
            <w:tcW w:w="90" w:type="dxa"/>
            <w:tcBorders>
              <w:top w:val="single" w:sz="6" w:space="0" w:color="auto"/>
              <w:left w:val="single" w:sz="6" w:space="0" w:color="auto"/>
              <w:bottom w:val="single" w:sz="6" w:space="0" w:color="auto"/>
            </w:tcBorders>
            <w:shd w:val="solid" w:color="FFFFFF" w:fill="auto"/>
          </w:tcPr>
          <w:p w14:paraId="1369D4F1"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5E1AE24A"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Robeson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8680853"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CC43</w:t>
            </w:r>
          </w:p>
        </w:tc>
      </w:tr>
      <w:tr w:rsidR="00EB3758" w14:paraId="0152880C"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3A950A0"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44</w:t>
            </w:r>
          </w:p>
        </w:tc>
        <w:tc>
          <w:tcPr>
            <w:tcW w:w="900" w:type="dxa"/>
            <w:tcBorders>
              <w:top w:val="single" w:sz="6" w:space="0" w:color="auto"/>
              <w:bottom w:val="single" w:sz="6" w:space="0" w:color="auto"/>
              <w:right w:val="single" w:sz="6" w:space="0" w:color="auto"/>
            </w:tcBorders>
            <w:shd w:val="solid" w:color="FFFFFF" w:fill="auto"/>
          </w:tcPr>
          <w:p w14:paraId="2186F2B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D9</w:t>
            </w:r>
          </w:p>
        </w:tc>
        <w:tc>
          <w:tcPr>
            <w:tcW w:w="90" w:type="dxa"/>
            <w:tcBorders>
              <w:top w:val="single" w:sz="6" w:space="0" w:color="auto"/>
              <w:left w:val="single" w:sz="6" w:space="0" w:color="auto"/>
              <w:bottom w:val="single" w:sz="6" w:space="0" w:color="auto"/>
            </w:tcBorders>
            <w:shd w:val="solid" w:color="FFFFFF" w:fill="auto"/>
          </w:tcPr>
          <w:p w14:paraId="511A92ED"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3836146"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Rockingham</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62375F5E"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CC44</w:t>
            </w:r>
          </w:p>
        </w:tc>
      </w:tr>
      <w:tr w:rsidR="00EB3758" w14:paraId="3621AD6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639E13E"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45</w:t>
            </w:r>
          </w:p>
        </w:tc>
        <w:tc>
          <w:tcPr>
            <w:tcW w:w="900" w:type="dxa"/>
            <w:tcBorders>
              <w:top w:val="single" w:sz="6" w:space="0" w:color="auto"/>
              <w:bottom w:val="single" w:sz="6" w:space="0" w:color="auto"/>
              <w:right w:val="single" w:sz="6" w:space="0" w:color="auto"/>
            </w:tcBorders>
            <w:shd w:val="solid" w:color="FFFFFF" w:fill="auto"/>
          </w:tcPr>
          <w:p w14:paraId="0582D9CD"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DA</w:t>
            </w:r>
          </w:p>
        </w:tc>
        <w:tc>
          <w:tcPr>
            <w:tcW w:w="90" w:type="dxa"/>
            <w:tcBorders>
              <w:top w:val="single" w:sz="6" w:space="0" w:color="auto"/>
              <w:left w:val="single" w:sz="6" w:space="0" w:color="auto"/>
              <w:bottom w:val="single" w:sz="6" w:space="0" w:color="auto"/>
            </w:tcBorders>
            <w:shd w:val="solid" w:color="FFFFFF" w:fill="auto"/>
          </w:tcPr>
          <w:p w14:paraId="07EA36FD"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F4C2D26"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Rowan-Cabarrus</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686CEF3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CC45</w:t>
            </w:r>
          </w:p>
        </w:tc>
      </w:tr>
      <w:tr w:rsidR="00EB3758" w14:paraId="1C90181A"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5053602"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46</w:t>
            </w:r>
          </w:p>
        </w:tc>
        <w:tc>
          <w:tcPr>
            <w:tcW w:w="900" w:type="dxa"/>
            <w:tcBorders>
              <w:top w:val="single" w:sz="6" w:space="0" w:color="auto"/>
              <w:bottom w:val="single" w:sz="6" w:space="0" w:color="auto"/>
              <w:right w:val="single" w:sz="6" w:space="0" w:color="auto"/>
            </w:tcBorders>
            <w:shd w:val="solid" w:color="FFFFFF" w:fill="auto"/>
          </w:tcPr>
          <w:p w14:paraId="73F5C76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DB</w:t>
            </w:r>
          </w:p>
        </w:tc>
        <w:tc>
          <w:tcPr>
            <w:tcW w:w="90" w:type="dxa"/>
            <w:tcBorders>
              <w:top w:val="single" w:sz="6" w:space="0" w:color="auto"/>
              <w:left w:val="single" w:sz="6" w:space="0" w:color="auto"/>
              <w:bottom w:val="single" w:sz="6" w:space="0" w:color="auto"/>
            </w:tcBorders>
            <w:shd w:val="solid" w:color="FFFFFF" w:fill="auto"/>
          </w:tcPr>
          <w:p w14:paraId="36EFFB6F"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F8DA79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Sampson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68624223"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CC46</w:t>
            </w:r>
          </w:p>
        </w:tc>
      </w:tr>
      <w:tr w:rsidR="00EB3758" w14:paraId="64BDC38A"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EF959B0"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47</w:t>
            </w:r>
          </w:p>
        </w:tc>
        <w:tc>
          <w:tcPr>
            <w:tcW w:w="900" w:type="dxa"/>
            <w:tcBorders>
              <w:top w:val="single" w:sz="6" w:space="0" w:color="auto"/>
              <w:bottom w:val="single" w:sz="6" w:space="0" w:color="auto"/>
              <w:right w:val="single" w:sz="6" w:space="0" w:color="auto"/>
            </w:tcBorders>
            <w:shd w:val="solid" w:color="FFFFFF" w:fill="auto"/>
          </w:tcPr>
          <w:p w14:paraId="1EF2904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DC</w:t>
            </w:r>
          </w:p>
        </w:tc>
        <w:tc>
          <w:tcPr>
            <w:tcW w:w="90" w:type="dxa"/>
            <w:tcBorders>
              <w:top w:val="single" w:sz="6" w:space="0" w:color="auto"/>
              <w:left w:val="single" w:sz="6" w:space="0" w:color="auto"/>
              <w:bottom w:val="single" w:sz="6" w:space="0" w:color="auto"/>
            </w:tcBorders>
            <w:shd w:val="solid" w:color="FFFFFF" w:fill="auto"/>
          </w:tcPr>
          <w:p w14:paraId="5A95B761"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CA8D7EF"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Sandhills</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470C18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CC47</w:t>
            </w:r>
          </w:p>
        </w:tc>
      </w:tr>
      <w:tr w:rsidR="00EB3758" w14:paraId="62D1B394"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F03815D"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48</w:t>
            </w:r>
          </w:p>
        </w:tc>
        <w:tc>
          <w:tcPr>
            <w:tcW w:w="900" w:type="dxa"/>
            <w:tcBorders>
              <w:top w:val="single" w:sz="6" w:space="0" w:color="auto"/>
              <w:bottom w:val="single" w:sz="6" w:space="0" w:color="auto"/>
              <w:right w:val="single" w:sz="6" w:space="0" w:color="auto"/>
            </w:tcBorders>
            <w:shd w:val="solid" w:color="FFFFFF" w:fill="auto"/>
          </w:tcPr>
          <w:p w14:paraId="2486ACC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DD</w:t>
            </w:r>
          </w:p>
        </w:tc>
        <w:tc>
          <w:tcPr>
            <w:tcW w:w="90" w:type="dxa"/>
            <w:tcBorders>
              <w:top w:val="single" w:sz="6" w:space="0" w:color="auto"/>
              <w:left w:val="single" w:sz="6" w:space="0" w:color="auto"/>
              <w:bottom w:val="single" w:sz="6" w:space="0" w:color="auto"/>
            </w:tcBorders>
            <w:shd w:val="solid" w:color="FFFFFF" w:fill="auto"/>
          </w:tcPr>
          <w:p w14:paraId="5D9ECF31"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07F6B89" w14:textId="77777777" w:rsidR="00EB3758" w:rsidRDefault="00EB3758" w:rsidP="00427785">
            <w:pPr>
              <w:rPr>
                <w:rFonts w:ascii="MS Sans Serif" w:hAnsi="MS Sans Serif"/>
                <w:snapToGrid w:val="0"/>
                <w:color w:val="000000"/>
              </w:rPr>
            </w:pPr>
            <w:r>
              <w:rPr>
                <w:rFonts w:ascii="MS Sans Serif" w:hAnsi="MS Sans Serif"/>
                <w:snapToGrid w:val="0"/>
                <w:color w:val="000000"/>
              </w:rPr>
              <w:t>Southeastern Community College</w:t>
            </w: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34D2D5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CC48</w:t>
            </w:r>
          </w:p>
        </w:tc>
      </w:tr>
      <w:tr w:rsidR="00EB3758" w14:paraId="057A04F8"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1E32576"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lastRenderedPageBreak/>
              <w:t>49</w:t>
            </w:r>
          </w:p>
        </w:tc>
        <w:tc>
          <w:tcPr>
            <w:tcW w:w="900" w:type="dxa"/>
            <w:tcBorders>
              <w:top w:val="single" w:sz="6" w:space="0" w:color="auto"/>
              <w:bottom w:val="single" w:sz="6" w:space="0" w:color="auto"/>
              <w:right w:val="single" w:sz="6" w:space="0" w:color="auto"/>
            </w:tcBorders>
            <w:shd w:val="solid" w:color="FFFFFF" w:fill="auto"/>
          </w:tcPr>
          <w:p w14:paraId="2220DA8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DE</w:t>
            </w:r>
          </w:p>
        </w:tc>
        <w:tc>
          <w:tcPr>
            <w:tcW w:w="90" w:type="dxa"/>
            <w:tcBorders>
              <w:top w:val="single" w:sz="6" w:space="0" w:color="auto"/>
              <w:left w:val="single" w:sz="6" w:space="0" w:color="auto"/>
              <w:bottom w:val="single" w:sz="6" w:space="0" w:color="auto"/>
            </w:tcBorders>
            <w:shd w:val="solid" w:color="FFFFFF" w:fill="auto"/>
          </w:tcPr>
          <w:p w14:paraId="616C9C3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EB22A79" w14:textId="77777777" w:rsidR="00EB3758" w:rsidRDefault="00EB3758" w:rsidP="00427785">
            <w:pPr>
              <w:rPr>
                <w:rFonts w:ascii="MS Sans Serif" w:hAnsi="MS Sans Serif"/>
                <w:snapToGrid w:val="0"/>
                <w:color w:val="000000"/>
              </w:rPr>
            </w:pPr>
            <w:r>
              <w:rPr>
                <w:rFonts w:ascii="MS Sans Serif" w:hAnsi="MS Sans Serif"/>
                <w:snapToGrid w:val="0"/>
                <w:color w:val="000000"/>
              </w:rPr>
              <w:t>Southwestern Community College</w:t>
            </w: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4142FC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CC49</w:t>
            </w:r>
          </w:p>
        </w:tc>
      </w:tr>
      <w:tr w:rsidR="00EB3758" w14:paraId="1C37E28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51D547E"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50</w:t>
            </w:r>
          </w:p>
        </w:tc>
        <w:tc>
          <w:tcPr>
            <w:tcW w:w="900" w:type="dxa"/>
            <w:tcBorders>
              <w:top w:val="single" w:sz="6" w:space="0" w:color="auto"/>
              <w:bottom w:val="single" w:sz="6" w:space="0" w:color="auto"/>
              <w:right w:val="single" w:sz="6" w:space="0" w:color="auto"/>
            </w:tcBorders>
            <w:shd w:val="solid" w:color="FFFFFF" w:fill="auto"/>
          </w:tcPr>
          <w:p w14:paraId="413F3AA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DF</w:t>
            </w:r>
          </w:p>
        </w:tc>
        <w:tc>
          <w:tcPr>
            <w:tcW w:w="90" w:type="dxa"/>
            <w:tcBorders>
              <w:top w:val="single" w:sz="6" w:space="0" w:color="auto"/>
              <w:left w:val="single" w:sz="6" w:space="0" w:color="auto"/>
              <w:bottom w:val="single" w:sz="6" w:space="0" w:color="auto"/>
            </w:tcBorders>
            <w:shd w:val="solid" w:color="FFFFFF" w:fill="auto"/>
          </w:tcPr>
          <w:p w14:paraId="31BA843E"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5B701B5C" w14:textId="77777777" w:rsidR="00EB3758" w:rsidRDefault="00EB3758" w:rsidP="00427785">
            <w:pPr>
              <w:rPr>
                <w:rFonts w:ascii="MS Sans Serif" w:hAnsi="MS Sans Serif"/>
                <w:snapToGrid w:val="0"/>
                <w:color w:val="000000"/>
              </w:rPr>
            </w:pPr>
            <w:r>
              <w:rPr>
                <w:rFonts w:ascii="MS Sans Serif" w:hAnsi="MS Sans Serif"/>
                <w:snapToGrid w:val="0"/>
                <w:color w:val="000000"/>
              </w:rPr>
              <w:t>Stanly Community College</w:t>
            </w: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76D6744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CC50</w:t>
            </w:r>
          </w:p>
        </w:tc>
      </w:tr>
      <w:tr w:rsidR="00EB3758" w14:paraId="5657B9BB"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6F9E59B"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51</w:t>
            </w:r>
          </w:p>
        </w:tc>
        <w:tc>
          <w:tcPr>
            <w:tcW w:w="900" w:type="dxa"/>
            <w:tcBorders>
              <w:top w:val="single" w:sz="6" w:space="0" w:color="auto"/>
              <w:bottom w:val="single" w:sz="6" w:space="0" w:color="auto"/>
              <w:right w:val="single" w:sz="6" w:space="0" w:color="auto"/>
            </w:tcBorders>
            <w:shd w:val="solid" w:color="FFFFFF" w:fill="auto"/>
          </w:tcPr>
          <w:p w14:paraId="5BEA244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DG</w:t>
            </w:r>
          </w:p>
        </w:tc>
        <w:tc>
          <w:tcPr>
            <w:tcW w:w="90" w:type="dxa"/>
            <w:tcBorders>
              <w:top w:val="single" w:sz="6" w:space="0" w:color="auto"/>
              <w:left w:val="single" w:sz="6" w:space="0" w:color="auto"/>
              <w:bottom w:val="single" w:sz="6" w:space="0" w:color="auto"/>
            </w:tcBorders>
            <w:shd w:val="solid" w:color="FFFFFF" w:fill="auto"/>
          </w:tcPr>
          <w:p w14:paraId="407DAD40"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06C4FB6"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Surry</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63ABC54"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CC51</w:t>
            </w:r>
          </w:p>
        </w:tc>
      </w:tr>
      <w:tr w:rsidR="00EB3758" w14:paraId="7577B82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E7D2541"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52</w:t>
            </w:r>
          </w:p>
        </w:tc>
        <w:tc>
          <w:tcPr>
            <w:tcW w:w="900" w:type="dxa"/>
            <w:tcBorders>
              <w:top w:val="single" w:sz="6" w:space="0" w:color="auto"/>
              <w:bottom w:val="single" w:sz="6" w:space="0" w:color="auto"/>
              <w:right w:val="single" w:sz="6" w:space="0" w:color="auto"/>
            </w:tcBorders>
            <w:shd w:val="solid" w:color="FFFFFF" w:fill="auto"/>
          </w:tcPr>
          <w:p w14:paraId="220B252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DH</w:t>
            </w:r>
          </w:p>
        </w:tc>
        <w:tc>
          <w:tcPr>
            <w:tcW w:w="90" w:type="dxa"/>
            <w:tcBorders>
              <w:top w:val="single" w:sz="6" w:space="0" w:color="auto"/>
              <w:left w:val="single" w:sz="6" w:space="0" w:color="auto"/>
              <w:bottom w:val="single" w:sz="6" w:space="0" w:color="auto"/>
            </w:tcBorders>
            <w:shd w:val="solid" w:color="FFFFFF" w:fill="auto"/>
          </w:tcPr>
          <w:p w14:paraId="209D0A6F"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43A5FFD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Tri-County</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253D74E"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CC52</w:t>
            </w:r>
          </w:p>
        </w:tc>
      </w:tr>
      <w:tr w:rsidR="00EB3758" w14:paraId="0DC74BDF"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CDFC04E"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53</w:t>
            </w:r>
          </w:p>
        </w:tc>
        <w:tc>
          <w:tcPr>
            <w:tcW w:w="900" w:type="dxa"/>
            <w:tcBorders>
              <w:top w:val="single" w:sz="6" w:space="0" w:color="auto"/>
              <w:bottom w:val="single" w:sz="6" w:space="0" w:color="auto"/>
              <w:right w:val="single" w:sz="6" w:space="0" w:color="auto"/>
            </w:tcBorders>
            <w:shd w:val="solid" w:color="FFFFFF" w:fill="auto"/>
          </w:tcPr>
          <w:p w14:paraId="7EE11C9D"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DJ</w:t>
            </w:r>
          </w:p>
        </w:tc>
        <w:tc>
          <w:tcPr>
            <w:tcW w:w="90" w:type="dxa"/>
            <w:tcBorders>
              <w:top w:val="single" w:sz="6" w:space="0" w:color="auto"/>
              <w:left w:val="single" w:sz="6" w:space="0" w:color="auto"/>
              <w:bottom w:val="single" w:sz="6" w:space="0" w:color="auto"/>
            </w:tcBorders>
            <w:shd w:val="solid" w:color="FFFFFF" w:fill="auto"/>
          </w:tcPr>
          <w:p w14:paraId="1D13C0A7"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9D285D6"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Vance-Granville</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C651AF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CC53</w:t>
            </w:r>
          </w:p>
        </w:tc>
      </w:tr>
      <w:tr w:rsidR="00EB3758" w14:paraId="0CF1D629"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1B665F5"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54</w:t>
            </w:r>
          </w:p>
        </w:tc>
        <w:tc>
          <w:tcPr>
            <w:tcW w:w="900" w:type="dxa"/>
            <w:tcBorders>
              <w:top w:val="single" w:sz="6" w:space="0" w:color="auto"/>
              <w:bottom w:val="single" w:sz="6" w:space="0" w:color="auto"/>
              <w:right w:val="single" w:sz="6" w:space="0" w:color="auto"/>
            </w:tcBorders>
            <w:shd w:val="solid" w:color="FFFFFF" w:fill="auto"/>
          </w:tcPr>
          <w:p w14:paraId="3D72277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DK</w:t>
            </w:r>
          </w:p>
        </w:tc>
        <w:tc>
          <w:tcPr>
            <w:tcW w:w="90" w:type="dxa"/>
            <w:tcBorders>
              <w:top w:val="single" w:sz="6" w:space="0" w:color="auto"/>
              <w:left w:val="single" w:sz="6" w:space="0" w:color="auto"/>
              <w:bottom w:val="single" w:sz="6" w:space="0" w:color="auto"/>
            </w:tcBorders>
            <w:shd w:val="solid" w:color="FFFFFF" w:fill="auto"/>
          </w:tcPr>
          <w:p w14:paraId="5F60FAA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67D1DF5"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Wake</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Technical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8F2FD7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CC54</w:t>
            </w:r>
          </w:p>
        </w:tc>
      </w:tr>
      <w:tr w:rsidR="00EB3758" w14:paraId="1EA8D224"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4B18AE8"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55</w:t>
            </w:r>
          </w:p>
        </w:tc>
        <w:tc>
          <w:tcPr>
            <w:tcW w:w="900" w:type="dxa"/>
            <w:tcBorders>
              <w:top w:val="single" w:sz="6" w:space="0" w:color="auto"/>
              <w:bottom w:val="single" w:sz="6" w:space="0" w:color="auto"/>
              <w:right w:val="single" w:sz="6" w:space="0" w:color="auto"/>
            </w:tcBorders>
            <w:shd w:val="solid" w:color="FFFFFF" w:fill="auto"/>
          </w:tcPr>
          <w:p w14:paraId="1A2ABFF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DL</w:t>
            </w:r>
          </w:p>
        </w:tc>
        <w:tc>
          <w:tcPr>
            <w:tcW w:w="90" w:type="dxa"/>
            <w:tcBorders>
              <w:top w:val="single" w:sz="6" w:space="0" w:color="auto"/>
              <w:left w:val="single" w:sz="6" w:space="0" w:color="auto"/>
              <w:bottom w:val="single" w:sz="6" w:space="0" w:color="auto"/>
            </w:tcBorders>
            <w:shd w:val="solid" w:color="FFFFFF" w:fill="auto"/>
          </w:tcPr>
          <w:p w14:paraId="75137730"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6D07470"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Wayne</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60F93E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CC55</w:t>
            </w:r>
          </w:p>
        </w:tc>
      </w:tr>
      <w:tr w:rsidR="00EB3758" w14:paraId="649A7F7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D9279C8"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56</w:t>
            </w:r>
          </w:p>
        </w:tc>
        <w:tc>
          <w:tcPr>
            <w:tcW w:w="900" w:type="dxa"/>
            <w:tcBorders>
              <w:top w:val="single" w:sz="6" w:space="0" w:color="auto"/>
              <w:bottom w:val="single" w:sz="6" w:space="0" w:color="auto"/>
              <w:right w:val="single" w:sz="6" w:space="0" w:color="auto"/>
            </w:tcBorders>
            <w:shd w:val="solid" w:color="FFFFFF" w:fill="auto"/>
          </w:tcPr>
          <w:p w14:paraId="0756CB2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DM</w:t>
            </w:r>
          </w:p>
        </w:tc>
        <w:tc>
          <w:tcPr>
            <w:tcW w:w="90" w:type="dxa"/>
            <w:tcBorders>
              <w:top w:val="single" w:sz="6" w:space="0" w:color="auto"/>
              <w:left w:val="single" w:sz="6" w:space="0" w:color="auto"/>
              <w:bottom w:val="single" w:sz="6" w:space="0" w:color="auto"/>
            </w:tcBorders>
            <w:shd w:val="solid" w:color="FFFFFF" w:fill="auto"/>
          </w:tcPr>
          <w:p w14:paraId="27BCFE7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87B373C"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Western</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Piedmont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A02B304"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CC56</w:t>
            </w:r>
          </w:p>
        </w:tc>
      </w:tr>
      <w:tr w:rsidR="00EB3758" w14:paraId="7BD4B439"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1618B7FF"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57</w:t>
            </w:r>
          </w:p>
        </w:tc>
        <w:tc>
          <w:tcPr>
            <w:tcW w:w="900" w:type="dxa"/>
            <w:tcBorders>
              <w:top w:val="single" w:sz="6" w:space="0" w:color="auto"/>
              <w:bottom w:val="single" w:sz="6" w:space="0" w:color="auto"/>
              <w:right w:val="single" w:sz="6" w:space="0" w:color="auto"/>
            </w:tcBorders>
            <w:shd w:val="solid" w:color="FFFFFF" w:fill="auto"/>
          </w:tcPr>
          <w:p w14:paraId="4D577B3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DN</w:t>
            </w:r>
          </w:p>
        </w:tc>
        <w:tc>
          <w:tcPr>
            <w:tcW w:w="90" w:type="dxa"/>
            <w:tcBorders>
              <w:top w:val="single" w:sz="6" w:space="0" w:color="auto"/>
              <w:left w:val="single" w:sz="6" w:space="0" w:color="auto"/>
              <w:bottom w:val="single" w:sz="6" w:space="0" w:color="auto"/>
            </w:tcBorders>
            <w:shd w:val="solid" w:color="FFFFFF" w:fill="auto"/>
          </w:tcPr>
          <w:p w14:paraId="301ED50F"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9E05F64"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Wilkes</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FB848F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CC57</w:t>
            </w:r>
          </w:p>
        </w:tc>
      </w:tr>
      <w:tr w:rsidR="00EB3758" w14:paraId="017AB31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A12F641"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58</w:t>
            </w:r>
          </w:p>
        </w:tc>
        <w:tc>
          <w:tcPr>
            <w:tcW w:w="900" w:type="dxa"/>
            <w:tcBorders>
              <w:top w:val="single" w:sz="6" w:space="0" w:color="auto"/>
              <w:bottom w:val="single" w:sz="6" w:space="0" w:color="auto"/>
              <w:right w:val="single" w:sz="6" w:space="0" w:color="auto"/>
            </w:tcBorders>
            <w:shd w:val="solid" w:color="FFFFFF" w:fill="auto"/>
          </w:tcPr>
          <w:p w14:paraId="347DE5B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DP</w:t>
            </w:r>
          </w:p>
        </w:tc>
        <w:tc>
          <w:tcPr>
            <w:tcW w:w="90" w:type="dxa"/>
            <w:tcBorders>
              <w:top w:val="single" w:sz="6" w:space="0" w:color="auto"/>
              <w:left w:val="single" w:sz="6" w:space="0" w:color="auto"/>
              <w:bottom w:val="single" w:sz="6" w:space="0" w:color="auto"/>
            </w:tcBorders>
            <w:shd w:val="solid" w:color="FFFFFF" w:fill="auto"/>
          </w:tcPr>
          <w:p w14:paraId="5CE28FF8"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ABA0BE9" w14:textId="77777777" w:rsidR="00EB3758" w:rsidRDefault="00DE77D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Wilson</w:t>
                </w:r>
              </w:smartTag>
              <w:r>
                <w:rPr>
                  <w:rFonts w:ascii="MS Sans Serif" w:hAnsi="MS Sans Serif"/>
                  <w:snapToGrid w:val="0"/>
                  <w:color w:val="000000"/>
                </w:rPr>
                <w:t xml:space="preserve"> </w:t>
              </w:r>
              <w:smartTag w:uri="urn:schemas-microsoft-com:office:smarttags" w:element="PlaceName">
                <w:r w:rsidR="00EB3758">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E67DC4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CC58</w:t>
            </w:r>
          </w:p>
        </w:tc>
      </w:tr>
    </w:tbl>
    <w:p w14:paraId="5B343EC8" w14:textId="77777777" w:rsidR="006C7B21" w:rsidRDefault="006C7B21">
      <w:pPr>
        <w:jc w:val="both"/>
        <w:rPr>
          <w:b/>
          <w:sz w:val="28"/>
        </w:rPr>
      </w:pPr>
    </w:p>
    <w:p w14:paraId="07F3F801" w14:textId="5CE89CDE" w:rsidR="00A10504" w:rsidRDefault="00A10504">
      <w:pPr>
        <w:jc w:val="both"/>
        <w:rPr>
          <w:b/>
          <w:sz w:val="32"/>
        </w:rPr>
      </w:pPr>
      <w:r>
        <w:rPr>
          <w:b/>
          <w:sz w:val="32"/>
        </w:rPr>
        <w:t>Starting in FY202</w:t>
      </w:r>
      <w:r w:rsidR="00A85B72">
        <w:rPr>
          <w:b/>
          <w:sz w:val="32"/>
        </w:rPr>
        <w:t>2</w:t>
      </w:r>
      <w:r>
        <w:rPr>
          <w:b/>
          <w:sz w:val="32"/>
        </w:rPr>
        <w:t xml:space="preserve">, </w:t>
      </w:r>
      <w:r w:rsidR="00B50A20">
        <w:rPr>
          <w:b/>
          <w:sz w:val="32"/>
        </w:rPr>
        <w:t>Exhibit A&amp;B has the FCCS Entity drop-down box which is auto-</w:t>
      </w:r>
      <w:r>
        <w:rPr>
          <w:b/>
          <w:sz w:val="32"/>
        </w:rPr>
        <w:t>populated</w:t>
      </w:r>
      <w:r w:rsidR="00B50A20">
        <w:rPr>
          <w:b/>
          <w:sz w:val="32"/>
        </w:rPr>
        <w:t xml:space="preserve"> with your</w:t>
      </w:r>
      <w:r>
        <w:rPr>
          <w:b/>
          <w:sz w:val="32"/>
        </w:rPr>
        <w:t xml:space="preserve"> entity’s FCCS Entity number which will be 48100G for community colleges and the</w:t>
      </w:r>
      <w:r w:rsidR="00FD2D75">
        <w:rPr>
          <w:b/>
          <w:sz w:val="32"/>
        </w:rPr>
        <w:t xml:space="preserve"> FCCS Agency which is your entity’s</w:t>
      </w:r>
      <w:r>
        <w:rPr>
          <w:b/>
          <w:sz w:val="32"/>
        </w:rPr>
        <w:t xml:space="preserve"> </w:t>
      </w:r>
      <w:r w:rsidR="00B50A20">
        <w:rPr>
          <w:b/>
          <w:sz w:val="32"/>
        </w:rPr>
        <w:t>two digit college number</w:t>
      </w:r>
      <w:r w:rsidR="00FD2D75">
        <w:rPr>
          <w:b/>
          <w:sz w:val="32"/>
        </w:rPr>
        <w:t xml:space="preserve">. </w:t>
      </w:r>
    </w:p>
    <w:p w14:paraId="47211705" w14:textId="77777777" w:rsidR="00FD2D75" w:rsidRDefault="00FD2D75">
      <w:pPr>
        <w:jc w:val="both"/>
        <w:rPr>
          <w:b/>
          <w:sz w:val="32"/>
        </w:rPr>
      </w:pPr>
    </w:p>
    <w:p w14:paraId="7E5973EB" w14:textId="3FCA94E0" w:rsidR="006C7B21" w:rsidRDefault="006C7B21">
      <w:pPr>
        <w:jc w:val="both"/>
        <w:rPr>
          <w:b/>
          <w:sz w:val="32"/>
        </w:rPr>
      </w:pPr>
      <w:r>
        <w:rPr>
          <w:b/>
          <w:sz w:val="32"/>
        </w:rPr>
        <w:t xml:space="preserve">Instructions for </w:t>
      </w:r>
      <w:r>
        <w:rPr>
          <w:b/>
          <w:sz w:val="32"/>
          <w:u w:val="single"/>
        </w:rPr>
        <w:t>Capital Assets</w:t>
      </w:r>
      <w:r>
        <w:rPr>
          <w:b/>
          <w:sz w:val="32"/>
        </w:rPr>
        <w:t xml:space="preserve"> Worksheet in </w:t>
      </w:r>
      <w:r w:rsidR="004C667D">
        <w:rPr>
          <w:b/>
          <w:sz w:val="32"/>
        </w:rPr>
        <w:t>20</w:t>
      </w:r>
      <w:r w:rsidR="00193FB5">
        <w:rPr>
          <w:b/>
          <w:sz w:val="32"/>
        </w:rPr>
        <w:t>2</w:t>
      </w:r>
      <w:r w:rsidR="00F26C73">
        <w:rPr>
          <w:b/>
          <w:sz w:val="32"/>
        </w:rPr>
        <w:t>2</w:t>
      </w:r>
      <w:r w:rsidR="004C667D">
        <w:rPr>
          <w:b/>
          <w:sz w:val="32"/>
        </w:rPr>
        <w:t xml:space="preserve"> Comm_Coll_Year-End </w:t>
      </w:r>
      <w:r w:rsidR="0091217F">
        <w:rPr>
          <w:b/>
          <w:sz w:val="32"/>
        </w:rPr>
        <w:t>ACFR</w:t>
      </w:r>
      <w:r w:rsidR="004C667D">
        <w:rPr>
          <w:b/>
          <w:sz w:val="32"/>
        </w:rPr>
        <w:t xml:space="preserve"> Package</w:t>
      </w:r>
      <w:r>
        <w:rPr>
          <w:b/>
          <w:sz w:val="32"/>
        </w:rPr>
        <w:t xml:space="preserve"> file</w:t>
      </w:r>
    </w:p>
    <w:p w14:paraId="48C0EDF0" w14:textId="77777777" w:rsidR="006C7B21" w:rsidRDefault="006C7B21">
      <w:pPr>
        <w:jc w:val="both"/>
        <w:rPr>
          <w:b/>
          <w:sz w:val="24"/>
        </w:rPr>
      </w:pPr>
    </w:p>
    <w:p w14:paraId="2C74FBDC" w14:textId="5F83D392" w:rsidR="006C7B21" w:rsidRDefault="006C7B21" w:rsidP="00DE77D8">
      <w:pPr>
        <w:jc w:val="both"/>
        <w:rPr>
          <w:rFonts w:ascii="Arial" w:hAnsi="Arial"/>
          <w:b/>
          <w:bCs/>
          <w:i/>
          <w:iCs/>
          <w:sz w:val="24"/>
        </w:rPr>
      </w:pPr>
      <w:r>
        <w:rPr>
          <w:rFonts w:ascii="Arial" w:hAnsi="Arial"/>
          <w:b/>
          <w:sz w:val="24"/>
        </w:rPr>
        <w:t>Beginning Balance=</w:t>
      </w:r>
      <w:r>
        <w:rPr>
          <w:rFonts w:ascii="Arial" w:hAnsi="Arial"/>
          <w:b/>
          <w:bCs/>
          <w:sz w:val="24"/>
        </w:rPr>
        <w:t>June 30, prior year</w:t>
      </w:r>
      <w:r>
        <w:rPr>
          <w:rFonts w:ascii="Arial" w:hAnsi="Arial"/>
          <w:sz w:val="24"/>
        </w:rPr>
        <w:t xml:space="preserve">.  </w:t>
      </w:r>
      <w:r>
        <w:rPr>
          <w:rFonts w:ascii="Arial" w:hAnsi="Arial"/>
          <w:i/>
          <w:iCs/>
          <w:sz w:val="24"/>
          <w:u w:val="single"/>
        </w:rPr>
        <w:t xml:space="preserve">These beginning balances must equal the June 30 ending balances per prior year </w:t>
      </w:r>
      <w:r w:rsidR="0091217F">
        <w:rPr>
          <w:rFonts w:ascii="Arial" w:hAnsi="Arial"/>
          <w:i/>
          <w:iCs/>
          <w:sz w:val="24"/>
          <w:u w:val="single"/>
        </w:rPr>
        <w:t>ACFR</w:t>
      </w:r>
      <w:r>
        <w:rPr>
          <w:rFonts w:ascii="Arial" w:hAnsi="Arial"/>
          <w:i/>
          <w:iCs/>
          <w:sz w:val="24"/>
          <w:u w:val="single"/>
        </w:rPr>
        <w:t>.</w:t>
      </w:r>
      <w:r>
        <w:rPr>
          <w:rFonts w:ascii="Arial" w:hAnsi="Arial"/>
          <w:i/>
          <w:iCs/>
          <w:sz w:val="24"/>
        </w:rPr>
        <w:t xml:space="preserve">   Any audit adjustments to th</w:t>
      </w:r>
      <w:r w:rsidR="00A512D5">
        <w:rPr>
          <w:rFonts w:ascii="Arial" w:hAnsi="Arial"/>
          <w:i/>
          <w:iCs/>
          <w:sz w:val="24"/>
        </w:rPr>
        <w:t xml:space="preserve">e </w:t>
      </w:r>
      <w:r w:rsidR="00A801FE">
        <w:rPr>
          <w:rFonts w:ascii="Arial" w:hAnsi="Arial"/>
          <w:i/>
          <w:iCs/>
          <w:sz w:val="24"/>
        </w:rPr>
        <w:t>prior year</w:t>
      </w:r>
      <w:r>
        <w:rPr>
          <w:rFonts w:ascii="Arial" w:hAnsi="Arial"/>
          <w:i/>
          <w:iCs/>
          <w:sz w:val="24"/>
        </w:rPr>
        <w:t xml:space="preserve"> balances that were made after the </w:t>
      </w:r>
      <w:r w:rsidR="0091217F">
        <w:rPr>
          <w:rFonts w:ascii="Arial" w:hAnsi="Arial"/>
          <w:i/>
          <w:iCs/>
          <w:sz w:val="24"/>
        </w:rPr>
        <w:t>ACFR</w:t>
      </w:r>
      <w:r>
        <w:rPr>
          <w:rFonts w:ascii="Arial" w:hAnsi="Arial"/>
          <w:i/>
          <w:iCs/>
          <w:sz w:val="24"/>
        </w:rPr>
        <w:t xml:space="preserve"> package was submitted to OSC must be reflected in the </w:t>
      </w:r>
      <w:r>
        <w:rPr>
          <w:rFonts w:ascii="Arial" w:hAnsi="Arial"/>
          <w:b/>
          <w:bCs/>
          <w:sz w:val="24"/>
        </w:rPr>
        <w:t>Prior</w:t>
      </w:r>
      <w:r>
        <w:rPr>
          <w:rFonts w:ascii="Arial" w:hAnsi="Arial"/>
          <w:sz w:val="24"/>
        </w:rPr>
        <w:t xml:space="preserve"> </w:t>
      </w:r>
      <w:r>
        <w:rPr>
          <w:rFonts w:ascii="Arial" w:hAnsi="Arial"/>
          <w:b/>
          <w:bCs/>
          <w:sz w:val="24"/>
        </w:rPr>
        <w:t>Year Asset Adjustment</w:t>
      </w:r>
      <w:r>
        <w:rPr>
          <w:rFonts w:ascii="Arial" w:hAnsi="Arial"/>
          <w:i/>
          <w:iCs/>
          <w:sz w:val="24"/>
        </w:rPr>
        <w:t xml:space="preserve"> column</w:t>
      </w:r>
      <w:r>
        <w:rPr>
          <w:rFonts w:ascii="Arial" w:hAnsi="Arial"/>
          <w:b/>
          <w:i/>
          <w:iCs/>
          <w:sz w:val="24"/>
        </w:rPr>
        <w:t xml:space="preserve">.  The beginning balances are equal to the prior year ending balances per the </w:t>
      </w:r>
      <w:r w:rsidR="0091217F">
        <w:rPr>
          <w:rFonts w:ascii="Arial" w:hAnsi="Arial"/>
          <w:b/>
          <w:i/>
          <w:iCs/>
          <w:sz w:val="24"/>
        </w:rPr>
        <w:t>ACFR</w:t>
      </w:r>
      <w:r>
        <w:rPr>
          <w:rFonts w:ascii="Arial" w:hAnsi="Arial"/>
          <w:b/>
          <w:i/>
          <w:iCs/>
          <w:sz w:val="24"/>
        </w:rPr>
        <w:t xml:space="preserve"> and are built in to the worksheet. </w:t>
      </w:r>
    </w:p>
    <w:p w14:paraId="1EEF0170" w14:textId="77777777" w:rsidR="006C7B21" w:rsidRDefault="006C7B21">
      <w:pPr>
        <w:jc w:val="both"/>
        <w:rPr>
          <w:rFonts w:ascii="Arial" w:hAnsi="Arial"/>
          <w:sz w:val="24"/>
        </w:rPr>
      </w:pPr>
    </w:p>
    <w:p w14:paraId="5216E959" w14:textId="5D3F7FF1" w:rsidR="00F532C9" w:rsidRDefault="006C7B21" w:rsidP="00DE77D8">
      <w:pPr>
        <w:jc w:val="both"/>
        <w:rPr>
          <w:rFonts w:ascii="Arial" w:hAnsi="Arial"/>
          <w:i/>
          <w:sz w:val="24"/>
        </w:rPr>
      </w:pPr>
      <w:r>
        <w:rPr>
          <w:rFonts w:ascii="Arial" w:hAnsi="Arial"/>
          <w:b/>
          <w:sz w:val="24"/>
        </w:rPr>
        <w:t xml:space="preserve">Prior Year Asset Adjustment  </w:t>
      </w:r>
      <w:r>
        <w:rPr>
          <w:rFonts w:ascii="Arial" w:hAnsi="Arial"/>
          <w:sz w:val="24"/>
        </w:rPr>
        <w:t xml:space="preserve"> Additions to the fixed asset system that were made in this fiscal year, but which had a prior year acquisition date. Also included in this column are </w:t>
      </w:r>
      <w:r w:rsidR="001E4EAD">
        <w:rPr>
          <w:rFonts w:ascii="Arial" w:hAnsi="Arial"/>
          <w:sz w:val="24"/>
        </w:rPr>
        <w:t>prior year audit adjustments</w:t>
      </w:r>
      <w:r>
        <w:rPr>
          <w:rFonts w:ascii="Arial" w:hAnsi="Arial"/>
          <w:sz w:val="24"/>
        </w:rPr>
        <w:t xml:space="preserve"> that were made after the </w:t>
      </w:r>
      <w:r w:rsidR="0091217F">
        <w:rPr>
          <w:rFonts w:ascii="Arial" w:hAnsi="Arial"/>
          <w:sz w:val="24"/>
        </w:rPr>
        <w:t>ACFR</w:t>
      </w:r>
      <w:r w:rsidR="003558B0">
        <w:rPr>
          <w:rFonts w:ascii="Arial" w:hAnsi="Arial"/>
          <w:sz w:val="24"/>
        </w:rPr>
        <w:t xml:space="preserve"> package was submitted to OSC.  </w:t>
      </w:r>
      <w:r w:rsidR="003558B0" w:rsidRPr="003558B0">
        <w:rPr>
          <w:rFonts w:ascii="Arial" w:hAnsi="Arial"/>
          <w:i/>
          <w:sz w:val="24"/>
        </w:rPr>
        <w:t>If there are any prior year adjustments, worksheet 430 must be completed and the amounts on these worksheets should ti</w:t>
      </w:r>
      <w:r w:rsidR="001E7C36">
        <w:rPr>
          <w:rFonts w:ascii="Arial" w:hAnsi="Arial"/>
          <w:i/>
          <w:sz w:val="24"/>
        </w:rPr>
        <w:t xml:space="preserve">e.  </w:t>
      </w:r>
      <w:r w:rsidR="001E7C36" w:rsidRPr="006F5651">
        <w:rPr>
          <w:rFonts w:ascii="Arial" w:hAnsi="Arial"/>
          <w:b/>
          <w:bCs/>
          <w:i/>
          <w:color w:val="FF0000"/>
          <w:sz w:val="24"/>
        </w:rPr>
        <w:t>Capital assets adjustments not tying to the worksheet 430 will generate an error on the dashboard tab and must be correct</w:t>
      </w:r>
      <w:r w:rsidR="006F5651" w:rsidRPr="006F5651">
        <w:rPr>
          <w:rFonts w:ascii="Arial" w:hAnsi="Arial"/>
          <w:b/>
          <w:bCs/>
          <w:i/>
          <w:color w:val="FF0000"/>
          <w:sz w:val="24"/>
        </w:rPr>
        <w:t>ed</w:t>
      </w:r>
      <w:r w:rsidR="001E7C36" w:rsidRPr="006F5651">
        <w:rPr>
          <w:rFonts w:ascii="Arial" w:hAnsi="Arial"/>
          <w:b/>
          <w:bCs/>
          <w:i/>
          <w:color w:val="FF0000"/>
          <w:sz w:val="24"/>
        </w:rPr>
        <w:t xml:space="preserve"> prior to submission to OSC.</w:t>
      </w:r>
      <w:r w:rsidR="003558B0" w:rsidRPr="006F5651">
        <w:rPr>
          <w:rFonts w:ascii="Arial" w:hAnsi="Arial"/>
          <w:b/>
          <w:bCs/>
          <w:i/>
          <w:color w:val="FF0000"/>
          <w:sz w:val="24"/>
        </w:rPr>
        <w:t xml:space="preserve"> </w:t>
      </w:r>
    </w:p>
    <w:p w14:paraId="5402D5FF" w14:textId="77777777" w:rsidR="006C7B21" w:rsidRPr="003558B0" w:rsidRDefault="003558B0" w:rsidP="00DE77D8">
      <w:pPr>
        <w:jc w:val="both"/>
        <w:rPr>
          <w:rFonts w:ascii="Arial" w:hAnsi="Arial"/>
          <w:i/>
          <w:sz w:val="24"/>
        </w:rPr>
      </w:pPr>
      <w:r w:rsidRPr="003558B0">
        <w:rPr>
          <w:rFonts w:ascii="Arial" w:hAnsi="Arial"/>
          <w:i/>
          <w:sz w:val="24"/>
        </w:rPr>
        <w:t xml:space="preserve"> </w:t>
      </w:r>
    </w:p>
    <w:p w14:paraId="0BD8693D" w14:textId="77777777" w:rsidR="006C7B21" w:rsidRDefault="006C7B21">
      <w:pPr>
        <w:jc w:val="both"/>
        <w:rPr>
          <w:rFonts w:ascii="Arial" w:hAnsi="Arial"/>
          <w:b/>
          <w:sz w:val="24"/>
        </w:rPr>
      </w:pPr>
      <w:r>
        <w:rPr>
          <w:rFonts w:ascii="Arial" w:hAnsi="Arial"/>
          <w:b/>
          <w:sz w:val="24"/>
        </w:rPr>
        <w:t>Additions</w:t>
      </w:r>
    </w:p>
    <w:p w14:paraId="0849F539" w14:textId="77777777" w:rsidR="006C7B21" w:rsidRDefault="006C7B21">
      <w:pPr>
        <w:tabs>
          <w:tab w:val="left" w:pos="540"/>
        </w:tabs>
        <w:ind w:left="540" w:hanging="360"/>
        <w:jc w:val="both"/>
        <w:rPr>
          <w:rFonts w:ascii="Arial" w:hAnsi="Arial"/>
          <w:sz w:val="24"/>
        </w:rPr>
      </w:pPr>
      <w:r>
        <w:rPr>
          <w:rFonts w:ascii="Arial" w:hAnsi="Arial"/>
          <w:sz w:val="24"/>
        </w:rPr>
        <w:t>1.</w:t>
      </w:r>
      <w:r>
        <w:rPr>
          <w:rFonts w:ascii="Arial" w:hAnsi="Arial"/>
          <w:sz w:val="24"/>
        </w:rPr>
        <w:tab/>
        <w:t>New Additions (capitalized fixed assets $5,000 and greater).  Also, include accrual fixed assets transactions (capitalized fixed assets acquired prior to June 30 but paid for in subsequent year).</w:t>
      </w:r>
    </w:p>
    <w:p w14:paraId="185137B1" w14:textId="77777777" w:rsidR="006C7B21" w:rsidRDefault="006C7B21">
      <w:pPr>
        <w:pStyle w:val="BodyTextIndent2"/>
        <w:numPr>
          <w:ilvl w:val="0"/>
          <w:numId w:val="10"/>
        </w:numPr>
      </w:pPr>
      <w:r>
        <w:t>Also include "adjustments" to capitalized fixed assets.  Adjustments are increases or decreases to assets al</w:t>
      </w:r>
      <w:r w:rsidR="00026434">
        <w:t>ready on the fixed asset system.  Positive adjustments are included in the additions column.</w:t>
      </w:r>
    </w:p>
    <w:p w14:paraId="7ED24CAD" w14:textId="77777777" w:rsidR="006C7B21" w:rsidRDefault="006C7B21">
      <w:pPr>
        <w:jc w:val="both"/>
        <w:rPr>
          <w:rFonts w:ascii="Arial" w:hAnsi="Arial"/>
          <w:sz w:val="24"/>
        </w:rPr>
      </w:pPr>
      <w:r>
        <w:rPr>
          <w:rFonts w:ascii="Arial" w:hAnsi="Arial"/>
          <w:b/>
          <w:sz w:val="24"/>
        </w:rPr>
        <w:t xml:space="preserve">Deletions </w:t>
      </w:r>
      <w:r w:rsidR="00026434">
        <w:rPr>
          <w:rFonts w:ascii="Arial" w:hAnsi="Arial"/>
          <w:sz w:val="24"/>
        </w:rPr>
        <w:t xml:space="preserve">Current year retirements and adjustments to capitalized fixed assets.  Adjustments are increases or decreases to assets already on the fixed asset system.  Negative adjustments are included in the deletions column.  </w:t>
      </w:r>
    </w:p>
    <w:p w14:paraId="64D47EB5" w14:textId="77777777" w:rsidR="006C7B21" w:rsidRDefault="006C7B21">
      <w:pPr>
        <w:jc w:val="both"/>
        <w:rPr>
          <w:rFonts w:ascii="Arial" w:hAnsi="Arial"/>
          <w:sz w:val="24"/>
        </w:rPr>
      </w:pPr>
    </w:p>
    <w:p w14:paraId="470DDB51" w14:textId="77777777" w:rsidR="006C7B21" w:rsidRDefault="006C7B21">
      <w:pPr>
        <w:pStyle w:val="Title"/>
        <w:jc w:val="left"/>
        <w:rPr>
          <w:rFonts w:ascii="Arial" w:hAnsi="Arial"/>
          <w:b w:val="0"/>
        </w:rPr>
      </w:pPr>
      <w:r>
        <w:rPr>
          <w:rFonts w:ascii="Arial" w:hAnsi="Arial"/>
        </w:rPr>
        <w:t xml:space="preserve">Balance June 30 </w:t>
      </w:r>
      <w:r>
        <w:rPr>
          <w:rFonts w:ascii="Arial" w:hAnsi="Arial"/>
          <w:b w:val="0"/>
        </w:rPr>
        <w:t xml:space="preserve">The calculated ending balance should agree to the general ledger asset type. </w:t>
      </w:r>
    </w:p>
    <w:p w14:paraId="79A38C09" w14:textId="77777777" w:rsidR="006C7B21" w:rsidRDefault="006C7B21">
      <w:pPr>
        <w:pStyle w:val="Title"/>
        <w:jc w:val="left"/>
        <w:rPr>
          <w:rFonts w:ascii="Arial" w:hAnsi="Arial"/>
          <w:b w:val="0"/>
        </w:rPr>
      </w:pPr>
    </w:p>
    <w:p w14:paraId="0B38CBC2" w14:textId="77777777" w:rsidR="000F4B87" w:rsidRDefault="000F4B87">
      <w:pPr>
        <w:pStyle w:val="Title"/>
        <w:jc w:val="left"/>
        <w:rPr>
          <w:rFonts w:ascii="Arial" w:hAnsi="Arial"/>
          <w:u w:val="single"/>
        </w:rPr>
      </w:pPr>
    </w:p>
    <w:p w14:paraId="5D324BE9" w14:textId="77777777" w:rsidR="000F4B87" w:rsidRDefault="000F4B87">
      <w:pPr>
        <w:pStyle w:val="Title"/>
        <w:jc w:val="left"/>
        <w:rPr>
          <w:rFonts w:ascii="Arial" w:hAnsi="Arial"/>
          <w:u w:val="single"/>
        </w:rPr>
      </w:pPr>
    </w:p>
    <w:p w14:paraId="12403EC4" w14:textId="1CED7871" w:rsidR="006C7B21" w:rsidRDefault="006C7B21">
      <w:pPr>
        <w:pStyle w:val="Title"/>
        <w:jc w:val="left"/>
        <w:rPr>
          <w:rFonts w:ascii="Arial" w:hAnsi="Arial"/>
          <w:u w:val="single"/>
        </w:rPr>
      </w:pPr>
      <w:r>
        <w:rPr>
          <w:rFonts w:ascii="Arial" w:hAnsi="Arial"/>
          <w:u w:val="single"/>
        </w:rPr>
        <w:lastRenderedPageBreak/>
        <w:t xml:space="preserve">Accumulated Depreciation – Capital Assets </w:t>
      </w:r>
    </w:p>
    <w:p w14:paraId="45B4A4AB" w14:textId="77777777" w:rsidR="006C7B21" w:rsidRDefault="006C7B21">
      <w:pPr>
        <w:pStyle w:val="Title"/>
        <w:jc w:val="left"/>
        <w:rPr>
          <w:rFonts w:ascii="Arial" w:hAnsi="Arial"/>
        </w:rPr>
      </w:pPr>
    </w:p>
    <w:p w14:paraId="3E1E0831" w14:textId="14F46A05" w:rsidR="006C7B21" w:rsidRDefault="006C7B21" w:rsidP="00DE77D8">
      <w:pPr>
        <w:pStyle w:val="Title"/>
        <w:jc w:val="left"/>
        <w:rPr>
          <w:rFonts w:ascii="Arial" w:hAnsi="Arial"/>
          <w:bCs/>
        </w:rPr>
      </w:pPr>
      <w:r>
        <w:rPr>
          <w:rFonts w:ascii="Arial" w:hAnsi="Arial"/>
        </w:rPr>
        <w:t xml:space="preserve">Beginning Balance=June 30, prior year     </w:t>
      </w:r>
      <w:r>
        <w:rPr>
          <w:rFonts w:ascii="Arial" w:hAnsi="Arial"/>
          <w:b w:val="0"/>
        </w:rPr>
        <w:t>The beginning balance represents the calculated accumulated depreciation for all capitalized, depreciable fixed as</w:t>
      </w:r>
      <w:r w:rsidR="001E4EAD">
        <w:rPr>
          <w:rFonts w:ascii="Arial" w:hAnsi="Arial"/>
          <w:b w:val="0"/>
        </w:rPr>
        <w:t>sets, by asset type</w:t>
      </w:r>
      <w:r>
        <w:rPr>
          <w:rFonts w:ascii="Arial" w:hAnsi="Arial"/>
          <w:b w:val="0"/>
        </w:rPr>
        <w:t xml:space="preserve">.  </w:t>
      </w:r>
      <w:r>
        <w:rPr>
          <w:rFonts w:ascii="Arial" w:hAnsi="Arial"/>
          <w:b w:val="0"/>
          <w:i/>
          <w:iCs/>
          <w:u w:val="single"/>
        </w:rPr>
        <w:t xml:space="preserve">These beginning balances must tie to the June 30 ending balances per prior year </w:t>
      </w:r>
      <w:r w:rsidR="0091217F">
        <w:rPr>
          <w:rFonts w:ascii="Arial" w:hAnsi="Arial"/>
          <w:b w:val="0"/>
          <w:i/>
          <w:iCs/>
          <w:u w:val="single"/>
        </w:rPr>
        <w:t>ACFR</w:t>
      </w:r>
      <w:r>
        <w:rPr>
          <w:rFonts w:ascii="Arial" w:hAnsi="Arial"/>
          <w:b w:val="0"/>
          <w:i/>
          <w:iCs/>
          <w:u w:val="single"/>
        </w:rPr>
        <w:t>.</w:t>
      </w:r>
      <w:r>
        <w:rPr>
          <w:rFonts w:ascii="Arial" w:hAnsi="Arial"/>
          <w:b w:val="0"/>
          <w:i/>
          <w:iCs/>
        </w:rPr>
        <w:t xml:space="preserve">  A</w:t>
      </w:r>
      <w:r w:rsidR="001E4EAD">
        <w:rPr>
          <w:rFonts w:ascii="Arial" w:hAnsi="Arial"/>
          <w:b w:val="0"/>
          <w:i/>
          <w:iCs/>
        </w:rPr>
        <w:t xml:space="preserve">ny audit adjustments </w:t>
      </w:r>
      <w:r>
        <w:rPr>
          <w:rFonts w:ascii="Arial" w:hAnsi="Arial"/>
          <w:b w:val="0"/>
          <w:i/>
          <w:iCs/>
        </w:rPr>
        <w:t xml:space="preserve">that were made after the </w:t>
      </w:r>
      <w:r w:rsidR="0091217F">
        <w:rPr>
          <w:rFonts w:ascii="Arial" w:hAnsi="Arial"/>
          <w:b w:val="0"/>
          <w:i/>
          <w:iCs/>
        </w:rPr>
        <w:t>ACFR</w:t>
      </w:r>
      <w:r>
        <w:rPr>
          <w:rFonts w:ascii="Arial" w:hAnsi="Arial"/>
          <w:b w:val="0"/>
          <w:i/>
          <w:iCs/>
        </w:rPr>
        <w:t xml:space="preserve"> package was submitted to OSC must be reflected in the </w:t>
      </w:r>
      <w:r>
        <w:rPr>
          <w:rFonts w:ascii="Arial" w:hAnsi="Arial"/>
          <w:bCs/>
        </w:rPr>
        <w:t>Prior Year Asset Adjustment</w:t>
      </w:r>
      <w:r>
        <w:rPr>
          <w:rFonts w:ascii="Arial" w:hAnsi="Arial"/>
          <w:b w:val="0"/>
          <w:i/>
          <w:iCs/>
        </w:rPr>
        <w:t xml:space="preserve"> column.  </w:t>
      </w:r>
      <w:r>
        <w:rPr>
          <w:rFonts w:ascii="Arial" w:hAnsi="Arial"/>
          <w:bCs/>
          <w:i/>
          <w:iCs/>
        </w:rPr>
        <w:t xml:space="preserve">The beginning balances are equal to the prior year ending balances per the </w:t>
      </w:r>
      <w:r w:rsidR="0091217F">
        <w:rPr>
          <w:rFonts w:ascii="Arial" w:hAnsi="Arial"/>
          <w:bCs/>
          <w:i/>
          <w:iCs/>
        </w:rPr>
        <w:t>ACFR</w:t>
      </w:r>
      <w:r>
        <w:rPr>
          <w:rFonts w:ascii="Arial" w:hAnsi="Arial"/>
          <w:bCs/>
          <w:i/>
          <w:iCs/>
        </w:rPr>
        <w:t xml:space="preserve"> and are built into the worksheet.</w:t>
      </w:r>
    </w:p>
    <w:p w14:paraId="212D1200" w14:textId="77777777" w:rsidR="006C7B21" w:rsidRDefault="006C7B21">
      <w:pPr>
        <w:pStyle w:val="Title"/>
        <w:jc w:val="left"/>
        <w:rPr>
          <w:rFonts w:ascii="Arial" w:hAnsi="Arial"/>
          <w:b w:val="0"/>
        </w:rPr>
      </w:pPr>
    </w:p>
    <w:p w14:paraId="1DE169F4" w14:textId="6DC2670C" w:rsidR="00704A25" w:rsidRPr="00F26C73" w:rsidRDefault="006C7B21" w:rsidP="00F26C73">
      <w:pPr>
        <w:jc w:val="both"/>
        <w:rPr>
          <w:rFonts w:ascii="Arial" w:hAnsi="Arial"/>
          <w:sz w:val="24"/>
        </w:rPr>
      </w:pPr>
      <w:r>
        <w:rPr>
          <w:rFonts w:ascii="Arial" w:hAnsi="Arial"/>
          <w:b/>
          <w:sz w:val="24"/>
        </w:rPr>
        <w:t xml:space="preserve">Prior Year Asset Adjustment  </w:t>
      </w:r>
      <w:r>
        <w:rPr>
          <w:rFonts w:ascii="Arial" w:hAnsi="Arial"/>
          <w:sz w:val="24"/>
        </w:rPr>
        <w:t xml:space="preserve"> Additions to the fixed asset system that were made in this fiscal year, but which had a prior year acquisition date. Also included in this column are audit adjustments that were made after the </w:t>
      </w:r>
      <w:r w:rsidR="0091217F">
        <w:rPr>
          <w:rFonts w:ascii="Arial" w:hAnsi="Arial"/>
          <w:sz w:val="24"/>
        </w:rPr>
        <w:t>ACFR</w:t>
      </w:r>
      <w:r>
        <w:rPr>
          <w:rFonts w:ascii="Arial" w:hAnsi="Arial"/>
          <w:sz w:val="24"/>
        </w:rPr>
        <w:t xml:space="preserve"> package was submitted to OSC.</w:t>
      </w:r>
    </w:p>
    <w:p w14:paraId="6BAA7960" w14:textId="77777777" w:rsidR="00704A25" w:rsidRDefault="00704A25">
      <w:pPr>
        <w:pStyle w:val="Title"/>
        <w:jc w:val="left"/>
        <w:rPr>
          <w:rFonts w:ascii="Arial" w:hAnsi="Arial"/>
        </w:rPr>
      </w:pPr>
    </w:p>
    <w:p w14:paraId="05FF3983" w14:textId="77777777" w:rsidR="006C7B21" w:rsidRDefault="006C7B21">
      <w:pPr>
        <w:pStyle w:val="Title"/>
        <w:jc w:val="left"/>
        <w:rPr>
          <w:rFonts w:ascii="Arial" w:hAnsi="Arial"/>
          <w:bCs/>
        </w:rPr>
      </w:pPr>
      <w:r>
        <w:rPr>
          <w:rFonts w:ascii="Arial" w:hAnsi="Arial"/>
        </w:rPr>
        <w:t>Additions</w:t>
      </w:r>
      <w:r>
        <w:rPr>
          <w:rFonts w:ascii="Arial" w:hAnsi="Arial"/>
        </w:rPr>
        <w:tab/>
      </w:r>
      <w:r>
        <w:rPr>
          <w:rFonts w:ascii="Arial" w:hAnsi="Arial"/>
          <w:b w:val="0"/>
        </w:rPr>
        <w:t xml:space="preserve">Represent the current year entries to accumulated depreciation when depreciation expense entries are recorded.  </w:t>
      </w:r>
      <w:r>
        <w:rPr>
          <w:rFonts w:ascii="Arial" w:hAnsi="Arial"/>
          <w:b w:val="0"/>
          <w:i/>
          <w:iCs/>
        </w:rPr>
        <w:t>Total should equal depreciation expense.</w:t>
      </w:r>
      <w:r w:rsidR="0034311F">
        <w:rPr>
          <w:rFonts w:ascii="Arial" w:hAnsi="Arial"/>
          <w:b w:val="0"/>
          <w:i/>
          <w:iCs/>
        </w:rPr>
        <w:t xml:space="preserve">  If the two amounts do not tie, provide an explanation for the difference.  </w:t>
      </w:r>
    </w:p>
    <w:p w14:paraId="2B4DFDC7" w14:textId="77777777" w:rsidR="006C7B21" w:rsidRDefault="006C7B21">
      <w:pPr>
        <w:pStyle w:val="Title"/>
        <w:jc w:val="left"/>
        <w:rPr>
          <w:rFonts w:ascii="Arial" w:hAnsi="Arial"/>
          <w:b w:val="0"/>
        </w:rPr>
      </w:pPr>
    </w:p>
    <w:p w14:paraId="6A0D950E" w14:textId="77777777" w:rsidR="006C7B21" w:rsidRDefault="006C7B21">
      <w:pPr>
        <w:pStyle w:val="Title"/>
        <w:jc w:val="left"/>
        <w:rPr>
          <w:rFonts w:ascii="Arial" w:hAnsi="Arial"/>
          <w:b w:val="0"/>
        </w:rPr>
      </w:pPr>
      <w:r>
        <w:rPr>
          <w:rFonts w:ascii="Arial" w:hAnsi="Arial"/>
        </w:rPr>
        <w:t>Deletions</w:t>
      </w:r>
      <w:r>
        <w:rPr>
          <w:rFonts w:ascii="Arial" w:hAnsi="Arial"/>
        </w:rPr>
        <w:tab/>
      </w:r>
      <w:r>
        <w:rPr>
          <w:rFonts w:ascii="Arial" w:hAnsi="Arial"/>
          <w:b w:val="0"/>
        </w:rPr>
        <w:t xml:space="preserve">Represent the reductions of accumulated depreciation associated with the current year disposal of fixed assets.  </w:t>
      </w:r>
    </w:p>
    <w:p w14:paraId="261C2B28" w14:textId="77777777" w:rsidR="006C7B21" w:rsidRDefault="006C7B21">
      <w:pPr>
        <w:pStyle w:val="Title"/>
        <w:jc w:val="left"/>
        <w:rPr>
          <w:rFonts w:ascii="Arial" w:hAnsi="Arial"/>
          <w:b w:val="0"/>
        </w:rPr>
      </w:pPr>
    </w:p>
    <w:p w14:paraId="21B054AE" w14:textId="77777777" w:rsidR="006C7B21" w:rsidRDefault="006C7B21">
      <w:pPr>
        <w:pStyle w:val="Title"/>
        <w:jc w:val="left"/>
        <w:rPr>
          <w:rFonts w:ascii="Arial" w:hAnsi="Arial"/>
          <w:b w:val="0"/>
        </w:rPr>
      </w:pPr>
      <w:r>
        <w:rPr>
          <w:rFonts w:ascii="Arial" w:hAnsi="Arial"/>
        </w:rPr>
        <w:t xml:space="preserve">Balance June 30   </w:t>
      </w:r>
      <w:r>
        <w:rPr>
          <w:rFonts w:ascii="Arial" w:hAnsi="Arial"/>
          <w:b w:val="0"/>
        </w:rPr>
        <w:t>The</w:t>
      </w:r>
      <w:r w:rsidR="003F6902">
        <w:rPr>
          <w:rFonts w:ascii="Arial" w:hAnsi="Arial"/>
          <w:b w:val="0"/>
        </w:rPr>
        <w:t xml:space="preserve"> </w:t>
      </w:r>
      <w:r>
        <w:rPr>
          <w:rFonts w:ascii="Arial" w:hAnsi="Arial"/>
          <w:b w:val="0"/>
        </w:rPr>
        <w:t>calculated ending balance should agree to the general ledger</w:t>
      </w:r>
    </w:p>
    <w:p w14:paraId="04AD6511" w14:textId="77777777" w:rsidR="006C7B21" w:rsidRDefault="001E4EAD">
      <w:pPr>
        <w:pStyle w:val="Title"/>
        <w:jc w:val="left"/>
        <w:rPr>
          <w:rFonts w:ascii="Arial" w:hAnsi="Arial"/>
        </w:rPr>
      </w:pPr>
      <w:r>
        <w:rPr>
          <w:rFonts w:ascii="Arial" w:hAnsi="Arial"/>
        </w:rPr>
        <w:t xml:space="preserve">The June </w:t>
      </w:r>
      <w:r w:rsidR="006C7B21">
        <w:rPr>
          <w:rFonts w:ascii="Arial" w:hAnsi="Arial"/>
        </w:rPr>
        <w:t xml:space="preserve">ending balances for </w:t>
      </w:r>
      <w:r w:rsidR="006C7B21">
        <w:rPr>
          <w:rFonts w:ascii="Arial" w:hAnsi="Arial"/>
          <w:u w:val="single"/>
        </w:rPr>
        <w:t>“Capital assets – nondepreciable</w:t>
      </w:r>
      <w:r w:rsidR="006C7B21">
        <w:rPr>
          <w:rFonts w:ascii="Arial" w:hAnsi="Arial"/>
        </w:rPr>
        <w:t xml:space="preserve">” and </w:t>
      </w:r>
      <w:r w:rsidR="006C7B21">
        <w:rPr>
          <w:rFonts w:ascii="Arial" w:hAnsi="Arial"/>
          <w:u w:val="single"/>
        </w:rPr>
        <w:t>“Capital assets – depreciable, net”</w:t>
      </w:r>
      <w:r w:rsidR="006C7B21">
        <w:rPr>
          <w:rFonts w:ascii="Arial" w:hAnsi="Arial"/>
        </w:rPr>
        <w:t xml:space="preserve"> will link from this worksheet to the captions on Exhibit A.  </w:t>
      </w:r>
    </w:p>
    <w:p w14:paraId="0B0AE617" w14:textId="77777777" w:rsidR="006C7B21" w:rsidRDefault="006C7B21">
      <w:pPr>
        <w:rPr>
          <w:sz w:val="22"/>
        </w:rPr>
      </w:pPr>
    </w:p>
    <w:p w14:paraId="3C29BA93" w14:textId="77777777" w:rsidR="006C7B21" w:rsidRDefault="006C7B21">
      <w:pPr>
        <w:rPr>
          <w:b/>
        </w:rPr>
      </w:pPr>
    </w:p>
    <w:p w14:paraId="27E7786A" w14:textId="77777777" w:rsidR="006C7B21" w:rsidRPr="00F93749" w:rsidRDefault="00F93749">
      <w:pPr>
        <w:spacing w:line="240" w:lineRule="exact"/>
        <w:rPr>
          <w:b/>
          <w:caps/>
          <w:color w:val="0000FF"/>
          <w:sz w:val="24"/>
          <w:u w:val="single"/>
        </w:rPr>
      </w:pPr>
      <w:r w:rsidRPr="00163A55">
        <w:rPr>
          <w:b/>
          <w:i/>
          <w:iCs/>
          <w:caps/>
          <w:color w:val="0000FF"/>
          <w:sz w:val="24"/>
          <w:u w:val="single"/>
        </w:rPr>
        <w:t>IMPORTANT</w:t>
      </w:r>
      <w:r w:rsidRPr="00F93749">
        <w:rPr>
          <w:b/>
          <w:caps/>
          <w:color w:val="0000FF"/>
          <w:sz w:val="24"/>
          <w:u w:val="single"/>
        </w:rPr>
        <w:t>:</w:t>
      </w:r>
    </w:p>
    <w:p w14:paraId="76033A45" w14:textId="388CC02C" w:rsidR="00AF6B09" w:rsidRDefault="00FD174D">
      <w:pPr>
        <w:rPr>
          <w:sz w:val="24"/>
        </w:rPr>
      </w:pPr>
      <w:r>
        <w:rPr>
          <w:sz w:val="24"/>
        </w:rPr>
        <w:t>The</w:t>
      </w:r>
      <w:r w:rsidR="00432F9A">
        <w:rPr>
          <w:sz w:val="24"/>
        </w:rPr>
        <w:t xml:space="preserve">re is not a separate </w:t>
      </w:r>
      <w:r w:rsidR="0091217F">
        <w:rPr>
          <w:sz w:val="24"/>
        </w:rPr>
        <w:t>ACFR</w:t>
      </w:r>
      <w:r w:rsidR="00011777">
        <w:rPr>
          <w:sz w:val="24"/>
        </w:rPr>
        <w:t xml:space="preserve"> </w:t>
      </w:r>
      <w:r w:rsidR="00F93749">
        <w:rPr>
          <w:sz w:val="24"/>
        </w:rPr>
        <w:t>worksheet/</w:t>
      </w:r>
      <w:r w:rsidR="00C830D5">
        <w:rPr>
          <w:sz w:val="24"/>
        </w:rPr>
        <w:t xml:space="preserve">schedule for amounts due </w:t>
      </w:r>
      <w:r w:rsidR="00C830D5" w:rsidRPr="005D3690">
        <w:rPr>
          <w:sz w:val="24"/>
          <w:u w:val="single"/>
        </w:rPr>
        <w:t>from</w:t>
      </w:r>
      <w:r w:rsidR="00C830D5">
        <w:rPr>
          <w:sz w:val="24"/>
        </w:rPr>
        <w:t xml:space="preserve"> primary government</w:t>
      </w:r>
      <w:r w:rsidR="005D3690">
        <w:rPr>
          <w:sz w:val="24"/>
        </w:rPr>
        <w:t>.  If the college has an amount due from the primary government</w:t>
      </w:r>
      <w:r w:rsidR="00F93749">
        <w:rPr>
          <w:sz w:val="24"/>
        </w:rPr>
        <w:t>,</w:t>
      </w:r>
      <w:r w:rsidR="00AF6B09">
        <w:rPr>
          <w:sz w:val="24"/>
        </w:rPr>
        <w:t xml:space="preserve"> it must meet the 1 million dollar threshold.  Otherwise the amount </w:t>
      </w:r>
      <w:r w:rsidR="009469AA">
        <w:rPr>
          <w:sz w:val="24"/>
        </w:rPr>
        <w:t>sh</w:t>
      </w:r>
      <w:r w:rsidR="00AF6B09">
        <w:rPr>
          <w:sz w:val="24"/>
        </w:rPr>
        <w:t xml:space="preserve">ould be reported as an accounts receivable for </w:t>
      </w:r>
      <w:r w:rsidR="0091217F">
        <w:rPr>
          <w:sz w:val="24"/>
        </w:rPr>
        <w:t>ACFR</w:t>
      </w:r>
      <w:r w:rsidR="00AF6B09">
        <w:rPr>
          <w:sz w:val="24"/>
        </w:rPr>
        <w:t xml:space="preserve"> presentation.</w:t>
      </w:r>
      <w:r w:rsidR="00D600BD">
        <w:rPr>
          <w:sz w:val="24"/>
        </w:rPr>
        <w:t xml:space="preserve"> </w:t>
      </w:r>
      <w:r w:rsidR="00AF2DA6">
        <w:rPr>
          <w:sz w:val="24"/>
        </w:rPr>
        <w:t xml:space="preserve">If the college has a due from primary government </w:t>
      </w:r>
      <w:r w:rsidR="00506C7F">
        <w:rPr>
          <w:sz w:val="24"/>
        </w:rPr>
        <w:t xml:space="preserve">amount that meets the 1 million dollar threshold, it should be included on Exhibit A and OSC will contact the college for further information.  </w:t>
      </w:r>
      <w:r w:rsidR="00945C8C">
        <w:rPr>
          <w:sz w:val="24"/>
        </w:rPr>
        <w:t>See also the related note below.</w:t>
      </w:r>
      <w:r w:rsidR="00AF6B09">
        <w:rPr>
          <w:sz w:val="24"/>
        </w:rPr>
        <w:t xml:space="preserve">  </w:t>
      </w:r>
    </w:p>
    <w:p w14:paraId="74DF5902" w14:textId="77777777" w:rsidR="00126F9E" w:rsidRDefault="00126F9E">
      <w:pPr>
        <w:rPr>
          <w:sz w:val="24"/>
        </w:rPr>
      </w:pPr>
    </w:p>
    <w:p w14:paraId="376689F4" w14:textId="77777777" w:rsidR="00AF2DA6" w:rsidRPr="00945C8C" w:rsidRDefault="00AF2DA6">
      <w:pPr>
        <w:rPr>
          <w:b/>
          <w:color w:val="0000FF"/>
          <w:sz w:val="24"/>
          <w:u w:val="single"/>
        </w:rPr>
      </w:pPr>
      <w:r w:rsidRPr="00945C8C">
        <w:rPr>
          <w:b/>
          <w:color w:val="0000FF"/>
          <w:sz w:val="24"/>
          <w:u w:val="single"/>
        </w:rPr>
        <w:t>The following is a reminder and is not a change from the prior year.</w:t>
      </w:r>
    </w:p>
    <w:p w14:paraId="73C72297" w14:textId="610C4270" w:rsidR="00126F9E" w:rsidRPr="00F93749" w:rsidRDefault="00126F9E">
      <w:pPr>
        <w:rPr>
          <w:sz w:val="24"/>
        </w:rPr>
      </w:pPr>
      <w:r>
        <w:rPr>
          <w:sz w:val="24"/>
        </w:rPr>
        <w:t>T</w:t>
      </w:r>
      <w:r w:rsidR="006C7B21">
        <w:rPr>
          <w:sz w:val="24"/>
        </w:rPr>
        <w:t xml:space="preserve">he balance due from the NC Community College System Office for capital projects, including the Higher Ed bond money, is reported in the </w:t>
      </w:r>
      <w:r w:rsidR="006C7B21" w:rsidRPr="009469AA">
        <w:rPr>
          <w:sz w:val="24"/>
        </w:rPr>
        <w:t xml:space="preserve">separate caption </w:t>
      </w:r>
      <w:r w:rsidR="006C7B21" w:rsidRPr="009469AA">
        <w:rPr>
          <w:sz w:val="24"/>
          <w:u w:val="single"/>
        </w:rPr>
        <w:t>“</w:t>
      </w:r>
      <w:r w:rsidR="006C7B21" w:rsidRPr="009469AA">
        <w:rPr>
          <w:b/>
          <w:sz w:val="24"/>
          <w:u w:val="single"/>
        </w:rPr>
        <w:t>Restricted</w:t>
      </w:r>
      <w:r w:rsidR="006C7B21" w:rsidRPr="009469AA">
        <w:rPr>
          <w:sz w:val="24"/>
          <w:u w:val="single"/>
        </w:rPr>
        <w:t xml:space="preserve"> </w:t>
      </w:r>
      <w:r w:rsidRPr="009469AA">
        <w:rPr>
          <w:sz w:val="24"/>
          <w:u w:val="single"/>
        </w:rPr>
        <w:t>D</w:t>
      </w:r>
      <w:r w:rsidR="006C7B21" w:rsidRPr="009469AA">
        <w:rPr>
          <w:sz w:val="24"/>
          <w:u w:val="single"/>
        </w:rPr>
        <w:t>ue from</w:t>
      </w:r>
      <w:r w:rsidR="009469AA">
        <w:rPr>
          <w:sz w:val="24"/>
          <w:u w:val="single"/>
        </w:rPr>
        <w:t xml:space="preserve"> Primary Government”</w:t>
      </w:r>
      <w:r w:rsidR="009469AA">
        <w:rPr>
          <w:sz w:val="24"/>
        </w:rPr>
        <w:t xml:space="preserve"> </w:t>
      </w:r>
      <w:r w:rsidR="00AF2DA6">
        <w:rPr>
          <w:sz w:val="24"/>
        </w:rPr>
        <w:t xml:space="preserve">in the </w:t>
      </w:r>
      <w:r w:rsidR="00AF2DA6" w:rsidRPr="00AF2DA6">
        <w:rPr>
          <w:b/>
          <w:sz w:val="24"/>
        </w:rPr>
        <w:t>noncurrent</w:t>
      </w:r>
      <w:r w:rsidR="00AF2DA6">
        <w:rPr>
          <w:sz w:val="24"/>
        </w:rPr>
        <w:t xml:space="preserve"> </w:t>
      </w:r>
      <w:r w:rsidR="00AF2DA6" w:rsidRPr="00AF2DA6">
        <w:rPr>
          <w:b/>
          <w:sz w:val="24"/>
        </w:rPr>
        <w:t>assets</w:t>
      </w:r>
      <w:r w:rsidR="00AF2DA6">
        <w:rPr>
          <w:sz w:val="24"/>
        </w:rPr>
        <w:t xml:space="preserve"> section </w:t>
      </w:r>
      <w:r w:rsidR="009469AA">
        <w:rPr>
          <w:sz w:val="24"/>
        </w:rPr>
        <w:t xml:space="preserve">on Exhibit A. </w:t>
      </w:r>
      <w:r w:rsidR="00AF2DA6">
        <w:rPr>
          <w:sz w:val="24"/>
        </w:rPr>
        <w:t>There is no dollar threshold for this amount.</w:t>
      </w:r>
      <w:r w:rsidR="009469AA">
        <w:rPr>
          <w:sz w:val="24"/>
        </w:rPr>
        <w:t xml:space="preserve"> </w:t>
      </w:r>
      <w:r w:rsidR="006C7B21">
        <w:rPr>
          <w:sz w:val="24"/>
        </w:rPr>
        <w:t xml:space="preserve"> </w:t>
      </w:r>
      <w:r w:rsidR="00776A94">
        <w:rPr>
          <w:sz w:val="24"/>
        </w:rPr>
        <w:t xml:space="preserve">The System Office will provide the balances by college to the OSC in early July.  These amounts will be built into a table in the </w:t>
      </w:r>
      <w:r w:rsidR="00945C8C" w:rsidRPr="00945C8C">
        <w:rPr>
          <w:b/>
          <w:sz w:val="24"/>
        </w:rPr>
        <w:t>CollProforma</w:t>
      </w:r>
      <w:r w:rsidR="00776A94" w:rsidRPr="00945C8C">
        <w:rPr>
          <w:b/>
          <w:sz w:val="24"/>
        </w:rPr>
        <w:t xml:space="preserve"> </w:t>
      </w:r>
      <w:r w:rsidR="00776A94">
        <w:rPr>
          <w:sz w:val="24"/>
        </w:rPr>
        <w:t>workbook s</w:t>
      </w:r>
      <w:r w:rsidR="00945C8C">
        <w:rPr>
          <w:sz w:val="24"/>
        </w:rPr>
        <w:t>o</w:t>
      </w:r>
      <w:r w:rsidR="00776A94">
        <w:rPr>
          <w:sz w:val="24"/>
        </w:rPr>
        <w:t xml:space="preserve"> that when the college </w:t>
      </w:r>
      <w:r w:rsidR="00853514">
        <w:rPr>
          <w:sz w:val="24"/>
        </w:rPr>
        <w:t xml:space="preserve">number is entered </w:t>
      </w:r>
      <w:r w:rsidR="00776A94">
        <w:rPr>
          <w:sz w:val="24"/>
        </w:rPr>
        <w:t xml:space="preserve">on the index sheet, the balance for the college will be linked in to the Restricted due from Primary Government caption on Exhibit A.  </w:t>
      </w:r>
      <w:r w:rsidRPr="00F93749">
        <w:rPr>
          <w:sz w:val="24"/>
        </w:rPr>
        <w:t xml:space="preserve">The Restricted Due from Primary Government amount should not be reported on any additional </w:t>
      </w:r>
      <w:r w:rsidR="0091217F">
        <w:rPr>
          <w:sz w:val="24"/>
        </w:rPr>
        <w:t>ACFR</w:t>
      </w:r>
      <w:r w:rsidRPr="00F93749">
        <w:rPr>
          <w:sz w:val="24"/>
        </w:rPr>
        <w:t xml:space="preserve"> worksheet or schedule.</w:t>
      </w:r>
      <w:r w:rsidR="00945C8C">
        <w:rPr>
          <w:sz w:val="24"/>
        </w:rPr>
        <w:t xml:space="preserve">  If the college disagrees with the amount determined by the System Office, the college must reconcile the difference with the System Office</w:t>
      </w:r>
      <w:r w:rsidR="00800774">
        <w:rPr>
          <w:sz w:val="24"/>
        </w:rPr>
        <w:t xml:space="preserve"> </w:t>
      </w:r>
      <w:r w:rsidR="00800774" w:rsidRPr="00476162">
        <w:rPr>
          <w:b/>
          <w:bCs/>
          <w:color w:val="FF0000"/>
          <w:sz w:val="24"/>
        </w:rPr>
        <w:t>prior to submission to OSC</w:t>
      </w:r>
      <w:r w:rsidR="00934EE5">
        <w:rPr>
          <w:sz w:val="24"/>
        </w:rPr>
        <w:t>.</w:t>
      </w:r>
    </w:p>
    <w:p w14:paraId="3986E99A" w14:textId="77777777" w:rsidR="00F93749" w:rsidRDefault="00F93749">
      <w:pPr>
        <w:rPr>
          <w:sz w:val="24"/>
        </w:rPr>
      </w:pPr>
    </w:p>
    <w:p w14:paraId="615E5E3F" w14:textId="3A485C5C" w:rsidR="00FD2D75" w:rsidRDefault="00FD2D75" w:rsidP="008E1AF8">
      <w:pPr>
        <w:spacing w:line="240" w:lineRule="exact"/>
        <w:rPr>
          <w:b/>
          <w:caps/>
          <w:sz w:val="24"/>
          <w:u w:val="single"/>
        </w:rPr>
      </w:pPr>
    </w:p>
    <w:p w14:paraId="050C0CF1" w14:textId="3A593305" w:rsidR="00772BD6" w:rsidRDefault="00772BD6" w:rsidP="008E1AF8">
      <w:pPr>
        <w:spacing w:line="240" w:lineRule="exact"/>
        <w:rPr>
          <w:b/>
          <w:caps/>
          <w:sz w:val="24"/>
          <w:u w:val="single"/>
        </w:rPr>
      </w:pPr>
    </w:p>
    <w:p w14:paraId="0B072CDF" w14:textId="2D5129A0" w:rsidR="00772BD6" w:rsidRDefault="00772BD6" w:rsidP="008E1AF8">
      <w:pPr>
        <w:spacing w:line="240" w:lineRule="exact"/>
        <w:rPr>
          <w:b/>
          <w:caps/>
          <w:sz w:val="24"/>
          <w:u w:val="single"/>
        </w:rPr>
      </w:pPr>
    </w:p>
    <w:p w14:paraId="1DB6A4F6" w14:textId="77777777" w:rsidR="00772BD6" w:rsidRDefault="00772BD6" w:rsidP="008E1AF8">
      <w:pPr>
        <w:spacing w:line="240" w:lineRule="exact"/>
        <w:rPr>
          <w:b/>
          <w:caps/>
          <w:sz w:val="24"/>
          <w:u w:val="single"/>
        </w:rPr>
      </w:pPr>
    </w:p>
    <w:p w14:paraId="06BA87B2" w14:textId="77777777" w:rsidR="00FD2D75" w:rsidRDefault="00FD2D75" w:rsidP="008E1AF8">
      <w:pPr>
        <w:spacing w:line="240" w:lineRule="exact"/>
        <w:rPr>
          <w:b/>
          <w:caps/>
          <w:sz w:val="24"/>
          <w:u w:val="single"/>
        </w:rPr>
      </w:pPr>
    </w:p>
    <w:p w14:paraId="55032281" w14:textId="77777777" w:rsidR="000F4B87" w:rsidRDefault="000F4B87" w:rsidP="008E1AF8">
      <w:pPr>
        <w:spacing w:line="240" w:lineRule="exact"/>
        <w:rPr>
          <w:b/>
          <w:caps/>
          <w:sz w:val="24"/>
          <w:u w:val="single"/>
        </w:rPr>
      </w:pPr>
    </w:p>
    <w:p w14:paraId="2A087564" w14:textId="77777777" w:rsidR="000F4B87" w:rsidRDefault="000F4B87" w:rsidP="008E1AF8">
      <w:pPr>
        <w:spacing w:line="240" w:lineRule="exact"/>
        <w:rPr>
          <w:b/>
          <w:caps/>
          <w:sz w:val="24"/>
          <w:u w:val="single"/>
        </w:rPr>
      </w:pPr>
    </w:p>
    <w:p w14:paraId="1F85E378" w14:textId="77777777" w:rsidR="000F4B87" w:rsidRDefault="000F4B87" w:rsidP="008E1AF8">
      <w:pPr>
        <w:spacing w:line="240" w:lineRule="exact"/>
        <w:rPr>
          <w:b/>
          <w:caps/>
          <w:sz w:val="24"/>
          <w:u w:val="single"/>
        </w:rPr>
      </w:pPr>
    </w:p>
    <w:p w14:paraId="07BC7E68" w14:textId="218C542C" w:rsidR="008E1AF8" w:rsidRPr="008E1AF8" w:rsidRDefault="008E1AF8" w:rsidP="008E1AF8">
      <w:pPr>
        <w:spacing w:line="240" w:lineRule="exact"/>
        <w:rPr>
          <w:b/>
          <w:caps/>
          <w:sz w:val="24"/>
          <w:u w:val="single"/>
        </w:rPr>
      </w:pPr>
      <w:r w:rsidRPr="008E1AF8">
        <w:rPr>
          <w:b/>
          <w:caps/>
          <w:sz w:val="24"/>
          <w:u w:val="single"/>
        </w:rPr>
        <w:lastRenderedPageBreak/>
        <w:t>Service concession arrangements (110)</w:t>
      </w:r>
    </w:p>
    <w:p w14:paraId="654A1DDE" w14:textId="77777777" w:rsidR="008E1AF8" w:rsidRPr="008E1AF8" w:rsidRDefault="008E1AF8" w:rsidP="008E1AF8">
      <w:pPr>
        <w:rPr>
          <w:lang w:eastAsia="x-none"/>
        </w:rPr>
      </w:pPr>
    </w:p>
    <w:p w14:paraId="6768AF6E" w14:textId="415CC200" w:rsidR="008E1AF8" w:rsidRDefault="008E1AF8" w:rsidP="008E1AF8">
      <w:pPr>
        <w:rPr>
          <w:sz w:val="24"/>
        </w:rPr>
      </w:pPr>
      <w:r w:rsidRPr="008E1AF8">
        <w:rPr>
          <w:sz w:val="24"/>
        </w:rPr>
        <w:t>GASB 60 requires disclosure of information related to service concession arrangements.  Review criteria on worksheet to determine if your agency has an SCA to report.  If you answer yes to this worksheet, you will also need to complete</w:t>
      </w:r>
      <w:r w:rsidR="00781BDF">
        <w:rPr>
          <w:sz w:val="24"/>
        </w:rPr>
        <w:t xml:space="preserve"> a</w:t>
      </w:r>
      <w:r w:rsidRPr="008E1AF8">
        <w:rPr>
          <w:sz w:val="24"/>
        </w:rPr>
        <w:t xml:space="preserve"> related </w:t>
      </w:r>
      <w:r w:rsidR="00781BDF">
        <w:rPr>
          <w:sz w:val="24"/>
        </w:rPr>
        <w:t>n</w:t>
      </w:r>
      <w:r w:rsidRPr="008E1AF8">
        <w:rPr>
          <w:sz w:val="24"/>
        </w:rPr>
        <w:t>arrative disclosure.</w:t>
      </w:r>
    </w:p>
    <w:p w14:paraId="1E8B4DC6" w14:textId="61335B40" w:rsidR="00745438" w:rsidRDefault="00745438" w:rsidP="008E1AF8">
      <w:pPr>
        <w:rPr>
          <w:sz w:val="24"/>
        </w:rPr>
      </w:pPr>
    </w:p>
    <w:p w14:paraId="0A409A8B" w14:textId="34664A53" w:rsidR="00745438" w:rsidRDefault="00745438" w:rsidP="008E1AF8">
      <w:pPr>
        <w:rPr>
          <w:sz w:val="24"/>
        </w:rPr>
      </w:pPr>
      <w:r w:rsidRPr="00745438">
        <w:rPr>
          <w:b/>
          <w:bCs/>
          <w:sz w:val="24"/>
          <w:u w:val="single"/>
        </w:rPr>
        <w:t>LEASES (301) – New FY 2022</w:t>
      </w:r>
    </w:p>
    <w:p w14:paraId="533E27B8" w14:textId="1286A852" w:rsidR="00745438" w:rsidRDefault="00745438" w:rsidP="008E1AF8">
      <w:pPr>
        <w:rPr>
          <w:sz w:val="24"/>
        </w:rPr>
      </w:pPr>
    </w:p>
    <w:p w14:paraId="4836F8F9" w14:textId="6DE65FF1" w:rsidR="00745438" w:rsidRPr="00745438" w:rsidRDefault="00745438" w:rsidP="00745438">
      <w:pPr>
        <w:rPr>
          <w:sz w:val="24"/>
        </w:rPr>
      </w:pPr>
      <w:r w:rsidRPr="00745438">
        <w:rPr>
          <w:sz w:val="24"/>
        </w:rPr>
        <w:t xml:space="preserve">GASB Statement 87 is new for fiscal year 2022. For note disclosure purposes, GASB 87 defines a lease as a contract that conveys control of the right to use another entity’s non-financial asset as specified in a contract for a period of time in an exchange or an exchange-like transaction.  Leasing arrangements as defined by GASB 87 are financings of the right to use a lease asset. See the </w:t>
      </w:r>
      <w:hyperlink r:id="rId9" w:history="1">
        <w:r w:rsidRPr="00745438">
          <w:rPr>
            <w:rStyle w:val="Hyperlink"/>
            <w:sz w:val="24"/>
          </w:rPr>
          <w:t>GASB  87 Financial Reporting Update</w:t>
        </w:r>
      </w:hyperlink>
      <w:r w:rsidRPr="00745438">
        <w:rPr>
          <w:sz w:val="24"/>
        </w:rPr>
        <w:t xml:space="preserve"> for more information.</w:t>
      </w:r>
    </w:p>
    <w:p w14:paraId="7FFA50FA" w14:textId="77777777" w:rsidR="00745438" w:rsidRPr="00745438" w:rsidRDefault="00745438" w:rsidP="00745438">
      <w:pPr>
        <w:rPr>
          <w:sz w:val="24"/>
        </w:rPr>
      </w:pPr>
    </w:p>
    <w:p w14:paraId="410195EF" w14:textId="0D99CBF2" w:rsidR="00745438" w:rsidRPr="00745438" w:rsidRDefault="00745438" w:rsidP="00745438">
      <w:pPr>
        <w:rPr>
          <w:sz w:val="24"/>
        </w:rPr>
      </w:pPr>
      <w:r w:rsidRPr="00745438">
        <w:rPr>
          <w:sz w:val="24"/>
        </w:rPr>
        <w:t>WS 301 is to be completed for Leases that fall under the GASB 87 definition. If future lease payments extend beyond 20</w:t>
      </w:r>
      <w:r w:rsidR="00D72AB2">
        <w:rPr>
          <w:sz w:val="24"/>
        </w:rPr>
        <w:t>47</w:t>
      </w:r>
      <w:r w:rsidRPr="00745438">
        <w:rPr>
          <w:sz w:val="24"/>
        </w:rPr>
        <w:t>, include a separate schedule breaking out the lease payments in 5-year increments until the end of the lease.</w:t>
      </w:r>
    </w:p>
    <w:p w14:paraId="74E1C943" w14:textId="77777777" w:rsidR="00745438" w:rsidRPr="00745438" w:rsidRDefault="00745438" w:rsidP="00745438">
      <w:pPr>
        <w:rPr>
          <w:sz w:val="24"/>
        </w:rPr>
      </w:pPr>
    </w:p>
    <w:p w14:paraId="14F30E92" w14:textId="77777777" w:rsidR="00745438" w:rsidRPr="00745438" w:rsidRDefault="00745438" w:rsidP="00745438">
      <w:pPr>
        <w:rPr>
          <w:sz w:val="24"/>
        </w:rPr>
      </w:pPr>
      <w:r w:rsidRPr="00745438">
        <w:rPr>
          <w:sz w:val="24"/>
        </w:rPr>
        <w:t xml:space="preserve">All questions under the main table are required to be answered for all entities. Leases between component units or between the primary government and component units are required to be presented separately in the financial statements. The lease liability and lease receivable between the entities must agree. </w:t>
      </w:r>
    </w:p>
    <w:p w14:paraId="4B82BB00" w14:textId="77777777" w:rsidR="00745438" w:rsidRPr="00745438" w:rsidRDefault="00745438" w:rsidP="00745438">
      <w:pPr>
        <w:rPr>
          <w:sz w:val="24"/>
        </w:rPr>
      </w:pPr>
    </w:p>
    <w:p w14:paraId="714CBF2C" w14:textId="1476F4B5" w:rsidR="00745438" w:rsidRPr="00745438" w:rsidRDefault="00745438" w:rsidP="00745438">
      <w:pPr>
        <w:rPr>
          <w:sz w:val="24"/>
        </w:rPr>
      </w:pPr>
      <w:r w:rsidRPr="00745438">
        <w:rPr>
          <w:sz w:val="24"/>
        </w:rPr>
        <w:t xml:space="preserve">Additional disclosures are required for lease payables reported in the Lessee Section of WS 301.  Please </w:t>
      </w:r>
      <w:r>
        <w:rPr>
          <w:sz w:val="24"/>
        </w:rPr>
        <w:t>use</w:t>
      </w:r>
      <w:r w:rsidR="00CB0445">
        <w:rPr>
          <w:sz w:val="24"/>
        </w:rPr>
        <w:t xml:space="preserve"> the</w:t>
      </w:r>
      <w:r>
        <w:rPr>
          <w:sz w:val="24"/>
        </w:rPr>
        <w:t xml:space="preserve"> text box under the Lessee</w:t>
      </w:r>
      <w:r w:rsidR="00CB0445">
        <w:rPr>
          <w:sz w:val="24"/>
        </w:rPr>
        <w:t xml:space="preserve"> section to prepare required disclosures.</w:t>
      </w:r>
    </w:p>
    <w:p w14:paraId="284EE276" w14:textId="77777777" w:rsidR="00745438" w:rsidRPr="00745438" w:rsidRDefault="00745438" w:rsidP="00745438">
      <w:pPr>
        <w:rPr>
          <w:sz w:val="24"/>
        </w:rPr>
      </w:pPr>
      <w:r w:rsidRPr="00745438">
        <w:rPr>
          <w:sz w:val="24"/>
        </w:rPr>
        <w:t xml:space="preserve"> </w:t>
      </w:r>
    </w:p>
    <w:p w14:paraId="52F40989" w14:textId="6F7EF9FF" w:rsidR="00745438" w:rsidRPr="00745438" w:rsidRDefault="00745438" w:rsidP="00745438">
      <w:pPr>
        <w:rPr>
          <w:sz w:val="24"/>
        </w:rPr>
      </w:pPr>
      <w:r w:rsidRPr="00745438">
        <w:rPr>
          <w:sz w:val="24"/>
        </w:rPr>
        <w:t xml:space="preserve">Additional disclosures are required if you as the Lessor reported lease receivables in your financial statements that fall under the definition of GASB 87. Please </w:t>
      </w:r>
      <w:r w:rsidR="00CB0445">
        <w:rPr>
          <w:sz w:val="24"/>
        </w:rPr>
        <w:t>use the text box under the Lessor section of WS 301 to prepare required disclosures.</w:t>
      </w:r>
    </w:p>
    <w:p w14:paraId="361EEA60" w14:textId="3CF47255" w:rsidR="008E1AF8" w:rsidRDefault="008E1AF8" w:rsidP="00F93749">
      <w:pPr>
        <w:spacing w:line="240" w:lineRule="exact"/>
        <w:rPr>
          <w:b/>
          <w:caps/>
          <w:sz w:val="24"/>
          <w:u w:val="single"/>
        </w:rPr>
      </w:pPr>
    </w:p>
    <w:p w14:paraId="08D30957" w14:textId="77777777" w:rsidR="00FD2D75" w:rsidRDefault="00FD2D75" w:rsidP="00F93749">
      <w:pPr>
        <w:spacing w:line="240" w:lineRule="exact"/>
        <w:rPr>
          <w:b/>
          <w:caps/>
          <w:sz w:val="24"/>
          <w:u w:val="single"/>
        </w:rPr>
      </w:pPr>
    </w:p>
    <w:p w14:paraId="63B25E88" w14:textId="6DE192EB" w:rsidR="00B24F6B" w:rsidRPr="00B24F6B" w:rsidRDefault="00B24F6B" w:rsidP="00B24F6B">
      <w:pPr>
        <w:jc w:val="both"/>
        <w:rPr>
          <w:b/>
          <w:sz w:val="24"/>
          <w:szCs w:val="24"/>
          <w:u w:val="single"/>
        </w:rPr>
      </w:pPr>
      <w:r>
        <w:rPr>
          <w:b/>
          <w:sz w:val="24"/>
          <w:szCs w:val="24"/>
          <w:u w:val="single"/>
        </w:rPr>
        <w:t>CERTAIN ASSET RETIREMENT OBLIGATIONS</w:t>
      </w:r>
      <w:r w:rsidRPr="00B24F6B">
        <w:rPr>
          <w:b/>
          <w:sz w:val="24"/>
          <w:szCs w:val="24"/>
          <w:u w:val="single"/>
        </w:rPr>
        <w:t xml:space="preserve"> (</w:t>
      </w:r>
      <w:r w:rsidR="00E5031D">
        <w:rPr>
          <w:b/>
          <w:sz w:val="24"/>
          <w:szCs w:val="24"/>
          <w:u w:val="single"/>
        </w:rPr>
        <w:t>323</w:t>
      </w:r>
      <w:r w:rsidRPr="00B24F6B">
        <w:rPr>
          <w:b/>
          <w:sz w:val="24"/>
          <w:szCs w:val="24"/>
          <w:u w:val="single"/>
        </w:rPr>
        <w:t>)</w:t>
      </w:r>
    </w:p>
    <w:p w14:paraId="4CE183DD" w14:textId="77777777" w:rsidR="00B24F6B" w:rsidRPr="00B24F6B" w:rsidRDefault="00B24F6B" w:rsidP="00B24F6B">
      <w:pPr>
        <w:jc w:val="both"/>
        <w:rPr>
          <w:sz w:val="24"/>
          <w:szCs w:val="24"/>
        </w:rPr>
      </w:pPr>
    </w:p>
    <w:p w14:paraId="53FD9ABD" w14:textId="6D0B39E4" w:rsidR="00B87E2F" w:rsidRPr="00B87E2F" w:rsidRDefault="00B87E2F" w:rsidP="00B87E2F">
      <w:pPr>
        <w:rPr>
          <w:sz w:val="24"/>
          <w:szCs w:val="24"/>
        </w:rPr>
      </w:pPr>
      <w:r w:rsidRPr="00B87E2F">
        <w:rPr>
          <w:sz w:val="24"/>
          <w:szCs w:val="24"/>
        </w:rPr>
        <w:t xml:space="preserve">GASB 83 requires recognition of a liability and corresponding deferred outflows of resources for an asset retirement obligation (ARO) if the liability is incurred and reasonably estimable.  An ARO is a legally enforceable liability associated with the retirement of certain tangible capital assets.  Examples of tangible capital assets that could have an ARO are decommissioning of nuclear reactors; removal and disposal of wind turbines in wind farms; dismantling and removal of sewage treatment plants; and removal and disposal of X-ray machines and MRI machines (this is not an all inclusive list).  This worksheet is to be completed only if you have an ARO.  On page one of the worksheet, indicate the external and internal obligating events that caused the incurrence of a liability.  </w:t>
      </w:r>
      <w:r>
        <w:rPr>
          <w:sz w:val="24"/>
          <w:szCs w:val="24"/>
        </w:rPr>
        <w:t>Also o</w:t>
      </w:r>
      <w:r w:rsidRPr="00B87E2F">
        <w:rPr>
          <w:sz w:val="24"/>
          <w:szCs w:val="24"/>
        </w:rPr>
        <w:t xml:space="preserve">n page </w:t>
      </w:r>
      <w:r>
        <w:rPr>
          <w:sz w:val="24"/>
          <w:szCs w:val="24"/>
        </w:rPr>
        <w:t>one</w:t>
      </w:r>
      <w:r w:rsidRPr="00B87E2F">
        <w:rPr>
          <w:sz w:val="24"/>
          <w:szCs w:val="24"/>
        </w:rPr>
        <w:t>, provide</w:t>
      </w:r>
      <w:r w:rsidRPr="00B87E2F">
        <w:t xml:space="preserve"> </w:t>
      </w:r>
      <w:r w:rsidRPr="00B87E2F">
        <w:rPr>
          <w:sz w:val="24"/>
          <w:szCs w:val="24"/>
        </w:rPr>
        <w:t xml:space="preserve">accounting and financial reporting related to the ARO.  Complete the first part if this is the first year the ARO will be recognized.  </w:t>
      </w:r>
      <w:r>
        <w:rPr>
          <w:sz w:val="24"/>
          <w:szCs w:val="24"/>
        </w:rPr>
        <w:t>On page two, c</w:t>
      </w:r>
      <w:r w:rsidRPr="00B87E2F">
        <w:rPr>
          <w:sz w:val="24"/>
          <w:szCs w:val="24"/>
        </w:rPr>
        <w:t xml:space="preserve">omplete the second part for all subsequent years of recognition.  </w:t>
      </w:r>
      <w:r>
        <w:rPr>
          <w:sz w:val="24"/>
          <w:szCs w:val="24"/>
        </w:rPr>
        <w:t xml:space="preserve">If there is an ARO, related disclosures are required.  </w:t>
      </w:r>
    </w:p>
    <w:p w14:paraId="79331782" w14:textId="77777777" w:rsidR="00B24F6B" w:rsidRPr="00B87E2F" w:rsidRDefault="00B24F6B" w:rsidP="00F93749">
      <w:pPr>
        <w:spacing w:line="240" w:lineRule="exact"/>
        <w:rPr>
          <w:b/>
          <w:caps/>
          <w:sz w:val="24"/>
          <w:szCs w:val="24"/>
          <w:u w:val="single"/>
        </w:rPr>
      </w:pPr>
    </w:p>
    <w:p w14:paraId="3819CF9C" w14:textId="77777777" w:rsidR="00B24F6B" w:rsidRDefault="00B24F6B" w:rsidP="00F93749">
      <w:pPr>
        <w:spacing w:line="240" w:lineRule="exact"/>
        <w:rPr>
          <w:b/>
          <w:caps/>
          <w:sz w:val="24"/>
          <w:u w:val="single"/>
        </w:rPr>
      </w:pPr>
    </w:p>
    <w:p w14:paraId="372A785B" w14:textId="77777777" w:rsidR="00F93749" w:rsidRDefault="00F93749" w:rsidP="00F93749">
      <w:pPr>
        <w:spacing w:line="240" w:lineRule="exact"/>
        <w:rPr>
          <w:b/>
          <w:caps/>
          <w:sz w:val="24"/>
          <w:u w:val="single"/>
        </w:rPr>
      </w:pPr>
      <w:r>
        <w:rPr>
          <w:b/>
          <w:caps/>
          <w:sz w:val="24"/>
          <w:u w:val="single"/>
        </w:rPr>
        <w:t xml:space="preserve">Schedule of  DUE  To  Primary Government </w:t>
      </w:r>
      <w:r>
        <w:rPr>
          <w:b/>
          <w:sz w:val="24"/>
        </w:rPr>
        <w:t>(520)</w:t>
      </w:r>
    </w:p>
    <w:p w14:paraId="73580AEE" w14:textId="77777777" w:rsidR="00126F9E" w:rsidRDefault="00126F9E">
      <w:pPr>
        <w:rPr>
          <w:sz w:val="24"/>
        </w:rPr>
      </w:pPr>
    </w:p>
    <w:p w14:paraId="34DB08ED" w14:textId="7D1C4AE3" w:rsidR="00783AF0" w:rsidRDefault="00783AF0">
      <w:pPr>
        <w:rPr>
          <w:sz w:val="24"/>
        </w:rPr>
      </w:pPr>
      <w:r w:rsidRPr="00460698">
        <w:rPr>
          <w:rFonts w:ascii="Arial" w:hAnsi="Arial"/>
          <w:color w:val="FF0000"/>
        </w:rPr>
        <w:t xml:space="preserve">For </w:t>
      </w:r>
      <w:r w:rsidR="0023534C">
        <w:rPr>
          <w:rFonts w:ascii="Arial" w:hAnsi="Arial"/>
          <w:color w:val="FF0000"/>
        </w:rPr>
        <w:t>schedule</w:t>
      </w:r>
      <w:r>
        <w:rPr>
          <w:rFonts w:ascii="Arial" w:hAnsi="Arial"/>
          <w:color w:val="FF0000"/>
        </w:rPr>
        <w:t xml:space="preserve"> 520</w:t>
      </w:r>
      <w:r w:rsidRPr="00460698">
        <w:rPr>
          <w:rFonts w:ascii="Arial" w:hAnsi="Arial"/>
          <w:color w:val="FF0000"/>
        </w:rPr>
        <w:t xml:space="preserve">, there is NO threshold for </w:t>
      </w:r>
      <w:r>
        <w:rPr>
          <w:rFonts w:ascii="Arial" w:hAnsi="Arial"/>
          <w:color w:val="FF0000"/>
        </w:rPr>
        <w:t>amounts due to the Primary Government</w:t>
      </w:r>
      <w:r w:rsidRPr="00460698">
        <w:rPr>
          <w:rFonts w:ascii="Arial" w:hAnsi="Arial"/>
          <w:color w:val="FF0000"/>
        </w:rPr>
        <w:t xml:space="preserve"> related to Coronavirus Funds. In the Comments section of </w:t>
      </w:r>
      <w:r>
        <w:rPr>
          <w:rFonts w:ascii="Arial" w:hAnsi="Arial"/>
          <w:color w:val="FF0000"/>
        </w:rPr>
        <w:t>this</w:t>
      </w:r>
      <w:r w:rsidRPr="00460698">
        <w:rPr>
          <w:rFonts w:ascii="Arial" w:hAnsi="Arial"/>
          <w:color w:val="FF0000"/>
        </w:rPr>
        <w:t xml:space="preserve"> worksheet, </w:t>
      </w:r>
      <w:r>
        <w:rPr>
          <w:rFonts w:ascii="Arial" w:hAnsi="Arial"/>
          <w:color w:val="FF0000"/>
        </w:rPr>
        <w:t>colleges</w:t>
      </w:r>
      <w:r w:rsidRPr="00460698">
        <w:rPr>
          <w:rFonts w:ascii="Arial" w:hAnsi="Arial"/>
          <w:color w:val="FF0000"/>
        </w:rPr>
        <w:t xml:space="preserve"> should indicate whether </w:t>
      </w:r>
      <w:r>
        <w:rPr>
          <w:rFonts w:ascii="Arial" w:hAnsi="Arial"/>
          <w:color w:val="FF0000"/>
        </w:rPr>
        <w:t>the Due to Primary Government</w:t>
      </w:r>
      <w:r w:rsidRPr="00460698">
        <w:rPr>
          <w:rFonts w:ascii="Arial" w:hAnsi="Arial"/>
          <w:color w:val="FF0000"/>
        </w:rPr>
        <w:t xml:space="preserve"> relates to (1) </w:t>
      </w:r>
      <w:r w:rsidR="00673571">
        <w:rPr>
          <w:rFonts w:ascii="Arial" w:hAnsi="Arial"/>
          <w:color w:val="FF0000"/>
        </w:rPr>
        <w:t xml:space="preserve">CARES Act </w:t>
      </w:r>
      <w:r w:rsidRPr="00460698">
        <w:rPr>
          <w:rFonts w:ascii="Arial" w:hAnsi="Arial"/>
          <w:color w:val="FF0000"/>
        </w:rPr>
        <w:t xml:space="preserve">Coronavirus Relief Fund </w:t>
      </w:r>
      <w:r w:rsidR="00673571">
        <w:rPr>
          <w:rFonts w:ascii="Arial" w:hAnsi="Arial"/>
          <w:color w:val="FF0000"/>
        </w:rPr>
        <w:t xml:space="preserve">(CRF) </w:t>
      </w:r>
      <w:r w:rsidRPr="00460698">
        <w:rPr>
          <w:rFonts w:ascii="Arial" w:hAnsi="Arial"/>
          <w:color w:val="FF0000"/>
        </w:rPr>
        <w:t>money, OR (2) other coronavirus funds.</w:t>
      </w:r>
    </w:p>
    <w:p w14:paraId="53839B9D" w14:textId="77777777" w:rsidR="00783AF0" w:rsidRDefault="00783AF0">
      <w:pPr>
        <w:rPr>
          <w:sz w:val="24"/>
        </w:rPr>
      </w:pPr>
    </w:p>
    <w:p w14:paraId="13A83E6E" w14:textId="2E0422B4" w:rsidR="006C7B21" w:rsidRDefault="00432F9A">
      <w:pPr>
        <w:rPr>
          <w:sz w:val="24"/>
        </w:rPr>
      </w:pPr>
      <w:r>
        <w:rPr>
          <w:sz w:val="24"/>
        </w:rPr>
        <w:t>Prepare the</w:t>
      </w:r>
      <w:r w:rsidR="006C7B21">
        <w:rPr>
          <w:sz w:val="24"/>
        </w:rPr>
        <w:t xml:space="preserve"> </w:t>
      </w:r>
      <w:r w:rsidR="0023534C">
        <w:rPr>
          <w:sz w:val="24"/>
        </w:rPr>
        <w:t>schedule</w:t>
      </w:r>
      <w:r w:rsidR="006C7B21">
        <w:rPr>
          <w:sz w:val="24"/>
        </w:rPr>
        <w:t xml:space="preserve"> of Due to Primary Government </w:t>
      </w:r>
      <w:r w:rsidR="007C40E9">
        <w:rPr>
          <w:sz w:val="24"/>
        </w:rPr>
        <w:t>if necessary using the following guidelines.</w:t>
      </w:r>
    </w:p>
    <w:p w14:paraId="386FC014" w14:textId="77777777" w:rsidR="006C7B21" w:rsidRDefault="00F93749">
      <w:pPr>
        <w:rPr>
          <w:sz w:val="24"/>
        </w:rPr>
      </w:pPr>
      <w:r>
        <w:rPr>
          <w:sz w:val="24"/>
        </w:rPr>
        <w:t>This schedule</w:t>
      </w:r>
      <w:r w:rsidR="00126F9E">
        <w:rPr>
          <w:sz w:val="24"/>
        </w:rPr>
        <w:t xml:space="preserve"> provide</w:t>
      </w:r>
      <w:r>
        <w:rPr>
          <w:sz w:val="24"/>
        </w:rPr>
        <w:t>s</w:t>
      </w:r>
      <w:r w:rsidR="00126F9E">
        <w:rPr>
          <w:sz w:val="24"/>
        </w:rPr>
        <w:t xml:space="preserve"> information on amounts due to primary government (</w:t>
      </w:r>
      <w:r w:rsidR="004D1969">
        <w:rPr>
          <w:sz w:val="24"/>
        </w:rPr>
        <w:t>state) agencies. This schedule</w:t>
      </w:r>
      <w:r w:rsidR="00126F9E">
        <w:rPr>
          <w:sz w:val="24"/>
        </w:rPr>
        <w:t xml:space="preserve"> must be </w:t>
      </w:r>
      <w:r w:rsidR="004D1969">
        <w:rPr>
          <w:sz w:val="24"/>
        </w:rPr>
        <w:t xml:space="preserve">prepared to support any balance shown as </w:t>
      </w:r>
      <w:r w:rsidR="00126F9E">
        <w:rPr>
          <w:sz w:val="24"/>
        </w:rPr>
        <w:t xml:space="preserve">“Due to Primary Government” on </w:t>
      </w:r>
      <w:r w:rsidR="004D1969">
        <w:rPr>
          <w:sz w:val="24"/>
        </w:rPr>
        <w:t xml:space="preserve">the </w:t>
      </w:r>
      <w:r w:rsidR="00126F9E">
        <w:rPr>
          <w:sz w:val="24"/>
        </w:rPr>
        <w:t>Exhibit A</w:t>
      </w:r>
      <w:r w:rsidR="006E733B">
        <w:rPr>
          <w:sz w:val="24"/>
        </w:rPr>
        <w:t>.</w:t>
      </w:r>
    </w:p>
    <w:p w14:paraId="322888FF" w14:textId="77777777" w:rsidR="004D1969" w:rsidRDefault="004D1969">
      <w:pPr>
        <w:rPr>
          <w:sz w:val="24"/>
        </w:rPr>
      </w:pPr>
    </w:p>
    <w:p w14:paraId="581C6E49" w14:textId="77777777" w:rsidR="006C7B21" w:rsidRDefault="006C7B21">
      <w:pPr>
        <w:spacing w:line="240" w:lineRule="exact"/>
        <w:rPr>
          <w:sz w:val="24"/>
        </w:rPr>
      </w:pPr>
      <w:r>
        <w:rPr>
          <w:sz w:val="24"/>
        </w:rPr>
        <w:t xml:space="preserve">The first column is requesting the Agency Number of the agency </w:t>
      </w:r>
      <w:r w:rsidR="004D1969">
        <w:rPr>
          <w:sz w:val="24"/>
        </w:rPr>
        <w:t>to</w:t>
      </w:r>
      <w:r>
        <w:rPr>
          <w:sz w:val="24"/>
        </w:rPr>
        <w:t xml:space="preserve"> which monies are </w:t>
      </w:r>
      <w:r w:rsidR="004D1969">
        <w:rPr>
          <w:sz w:val="24"/>
        </w:rPr>
        <w:t>owed.</w:t>
      </w:r>
    </w:p>
    <w:p w14:paraId="55BFC394" w14:textId="77777777" w:rsidR="006C7B21" w:rsidRDefault="006C7B21">
      <w:pPr>
        <w:spacing w:line="240" w:lineRule="exact"/>
        <w:rPr>
          <w:sz w:val="24"/>
        </w:rPr>
      </w:pPr>
    </w:p>
    <w:p w14:paraId="38BEF589" w14:textId="08FE8041" w:rsidR="006C7B21" w:rsidRDefault="006C7B21">
      <w:pPr>
        <w:spacing w:line="240" w:lineRule="exact"/>
        <w:rPr>
          <w:color w:val="0000FF"/>
          <w:sz w:val="24"/>
        </w:rPr>
      </w:pPr>
      <w:r>
        <w:rPr>
          <w:sz w:val="24"/>
        </w:rPr>
        <w:t xml:space="preserve">The second column is the GASB Number of the fund of the agency to which monies are being transferred.  Contact with </w:t>
      </w:r>
      <w:r w:rsidR="006E733B">
        <w:rPr>
          <w:sz w:val="24"/>
        </w:rPr>
        <w:t xml:space="preserve">the </w:t>
      </w:r>
      <w:r>
        <w:rPr>
          <w:sz w:val="24"/>
        </w:rPr>
        <w:t xml:space="preserve">payee </w:t>
      </w:r>
      <w:r w:rsidR="006E733B">
        <w:rPr>
          <w:sz w:val="24"/>
        </w:rPr>
        <w:t xml:space="preserve">agency </w:t>
      </w:r>
      <w:r>
        <w:rPr>
          <w:sz w:val="24"/>
        </w:rPr>
        <w:t xml:space="preserve">will be </w:t>
      </w:r>
      <w:r w:rsidR="00673571">
        <w:rPr>
          <w:sz w:val="24"/>
        </w:rPr>
        <w:t>critical</w:t>
      </w:r>
      <w:r>
        <w:rPr>
          <w:sz w:val="24"/>
        </w:rPr>
        <w:t xml:space="preserve"> for the proper completion of this worksheet</w:t>
      </w:r>
      <w:r w:rsidR="00AF59F8">
        <w:rPr>
          <w:sz w:val="24"/>
        </w:rPr>
        <w:t xml:space="preserve"> (columns under “Payee Contact”). </w:t>
      </w:r>
      <w:r w:rsidR="008F1F09" w:rsidRPr="008F1F09">
        <w:rPr>
          <w:sz w:val="24"/>
        </w:rPr>
        <w:t>Please save/file supporting documentation for further inquiries.</w:t>
      </w:r>
    </w:p>
    <w:p w14:paraId="10DE4A69" w14:textId="77777777" w:rsidR="006C7B21" w:rsidRDefault="006C7B21">
      <w:pPr>
        <w:spacing w:line="240" w:lineRule="exact"/>
        <w:rPr>
          <w:sz w:val="24"/>
        </w:rPr>
      </w:pPr>
      <w:r>
        <w:rPr>
          <w:sz w:val="24"/>
        </w:rPr>
        <w:t xml:space="preserve"> </w:t>
      </w:r>
    </w:p>
    <w:p w14:paraId="3AD9561E" w14:textId="14F1030D" w:rsidR="006C7B21" w:rsidRDefault="006C7B21">
      <w:pPr>
        <w:spacing w:line="240" w:lineRule="exact"/>
        <w:rPr>
          <w:sz w:val="24"/>
        </w:rPr>
      </w:pPr>
      <w:r>
        <w:rPr>
          <w:sz w:val="24"/>
        </w:rPr>
        <w:t xml:space="preserve">An aggregated threshold of </w:t>
      </w:r>
      <w:r>
        <w:rPr>
          <w:b/>
          <w:color w:val="0000FF"/>
          <w:sz w:val="24"/>
        </w:rPr>
        <w:t>$1,000,000</w:t>
      </w:r>
      <w:r>
        <w:rPr>
          <w:sz w:val="24"/>
        </w:rPr>
        <w:t xml:space="preserve"> per Agency and Individual GA</w:t>
      </w:r>
      <w:r w:rsidR="004D1969">
        <w:rPr>
          <w:sz w:val="24"/>
        </w:rPr>
        <w:t xml:space="preserve">SB Number will apply to the </w:t>
      </w:r>
      <w:r>
        <w:rPr>
          <w:sz w:val="24"/>
        </w:rPr>
        <w:t>Due to Primary Government accounts</w:t>
      </w:r>
      <w:r w:rsidR="00783AF0">
        <w:rPr>
          <w:sz w:val="24"/>
        </w:rPr>
        <w:t xml:space="preserve"> </w:t>
      </w:r>
      <w:r w:rsidR="00783AF0" w:rsidRPr="00783AF0">
        <w:rPr>
          <w:b/>
          <w:bCs/>
          <w:color w:val="FF0000"/>
          <w:sz w:val="24"/>
        </w:rPr>
        <w:t>(EXCEPT coronavirus funds, as noted in red text above)</w:t>
      </w:r>
      <w:r>
        <w:rPr>
          <w:sz w:val="24"/>
        </w:rPr>
        <w:t>.  Record those aggregated amounts of $1,000,000 or more as Due To Primary Government.  For amounts un</w:t>
      </w:r>
      <w:r w:rsidR="004D1969">
        <w:rPr>
          <w:sz w:val="24"/>
        </w:rPr>
        <w:t>der the threshold, record as</w:t>
      </w:r>
      <w:r>
        <w:rPr>
          <w:sz w:val="24"/>
        </w:rPr>
        <w:t xml:space="preserve"> an Accounts Payable.</w:t>
      </w:r>
    </w:p>
    <w:p w14:paraId="3EC98AAD" w14:textId="77777777" w:rsidR="006C7B21" w:rsidRDefault="006C7B21">
      <w:pPr>
        <w:spacing w:line="240" w:lineRule="exact"/>
        <w:rPr>
          <w:sz w:val="24"/>
        </w:rPr>
      </w:pPr>
    </w:p>
    <w:p w14:paraId="54D9D727" w14:textId="77777777" w:rsidR="006C7B21" w:rsidRDefault="006C7B21">
      <w:pPr>
        <w:spacing w:line="240" w:lineRule="exact"/>
        <w:rPr>
          <w:sz w:val="24"/>
        </w:rPr>
      </w:pPr>
      <w:r>
        <w:rPr>
          <w:sz w:val="24"/>
        </w:rPr>
        <w:t>Note that all amounts must meet the $1,000,000 threshold and tie to the Exhibit A.</w:t>
      </w:r>
    </w:p>
    <w:p w14:paraId="441FD7DF" w14:textId="77777777" w:rsidR="00F720FC" w:rsidRDefault="00F720FC">
      <w:pPr>
        <w:spacing w:line="240" w:lineRule="exact"/>
        <w:rPr>
          <w:sz w:val="24"/>
        </w:rPr>
      </w:pPr>
    </w:p>
    <w:p w14:paraId="14A964A6" w14:textId="77777777" w:rsidR="006C7B21" w:rsidRDefault="00F720FC">
      <w:pPr>
        <w:spacing w:line="240" w:lineRule="exact"/>
        <w:rPr>
          <w:sz w:val="24"/>
        </w:rPr>
      </w:pPr>
      <w:r>
        <w:rPr>
          <w:b/>
          <w:bCs/>
          <w:color w:val="0000FF"/>
          <w:sz w:val="24"/>
        </w:rPr>
        <w:t>REMINDER:  The following GASBs are now subject to the $</w:t>
      </w:r>
      <w:r w:rsidR="006C7B21">
        <w:rPr>
          <w:b/>
          <w:bCs/>
          <w:color w:val="0000FF"/>
          <w:sz w:val="24"/>
        </w:rPr>
        <w:t>1,</w:t>
      </w:r>
      <w:bookmarkStart w:id="0" w:name="_Hlk522603706"/>
      <w:r w:rsidR="006C7B21">
        <w:rPr>
          <w:b/>
          <w:bCs/>
          <w:color w:val="0000FF"/>
          <w:sz w:val="24"/>
        </w:rPr>
        <w:t>000,000 thr</w:t>
      </w:r>
      <w:bookmarkStart w:id="1" w:name="_Hlk522603745"/>
      <w:r w:rsidR="006C7B21">
        <w:rPr>
          <w:b/>
          <w:bCs/>
          <w:color w:val="0000FF"/>
          <w:sz w:val="24"/>
        </w:rPr>
        <w:t>e</w:t>
      </w:r>
      <w:bookmarkEnd w:id="1"/>
      <w:r w:rsidR="006C7B21">
        <w:rPr>
          <w:b/>
          <w:bCs/>
          <w:color w:val="0000FF"/>
          <w:sz w:val="24"/>
        </w:rPr>
        <w:t>shold</w:t>
      </w:r>
      <w:bookmarkEnd w:id="0"/>
      <w:r>
        <w:rPr>
          <w:b/>
          <w:bCs/>
          <w:color w:val="0000FF"/>
          <w:sz w:val="24"/>
        </w:rPr>
        <w:t>:</w:t>
      </w:r>
    </w:p>
    <w:p w14:paraId="4186F797" w14:textId="77777777" w:rsidR="006C7B21" w:rsidRDefault="006C7B21">
      <w:pPr>
        <w:spacing w:line="240" w:lineRule="exact"/>
        <w:rPr>
          <w:sz w:val="24"/>
        </w:rPr>
      </w:pPr>
    </w:p>
    <w:p w14:paraId="71D53A0A" w14:textId="77777777" w:rsidR="006C7B21" w:rsidRDefault="006C7B21">
      <w:pPr>
        <w:numPr>
          <w:ilvl w:val="0"/>
          <w:numId w:val="3"/>
        </w:numPr>
        <w:tabs>
          <w:tab w:val="left" w:pos="360"/>
        </w:tabs>
        <w:spacing w:line="240" w:lineRule="exact"/>
        <w:rPr>
          <w:sz w:val="24"/>
        </w:rPr>
      </w:pPr>
      <w:r>
        <w:rPr>
          <w:sz w:val="24"/>
        </w:rPr>
        <w:t>Agency No. 13  GASB 2714  Motor Fleet Management</w:t>
      </w:r>
      <w:r w:rsidR="004D3FC8">
        <w:rPr>
          <w:sz w:val="24"/>
        </w:rPr>
        <w:t>, Dept. of Administration</w:t>
      </w:r>
    </w:p>
    <w:p w14:paraId="1C2077D6" w14:textId="77777777" w:rsidR="006C7B21" w:rsidRDefault="006C7B21">
      <w:pPr>
        <w:numPr>
          <w:ilvl w:val="0"/>
          <w:numId w:val="3"/>
        </w:numPr>
        <w:tabs>
          <w:tab w:val="left" w:pos="360"/>
        </w:tabs>
        <w:spacing w:line="240" w:lineRule="exact"/>
        <w:rPr>
          <w:sz w:val="24"/>
        </w:rPr>
      </w:pPr>
      <w:r>
        <w:rPr>
          <w:sz w:val="24"/>
        </w:rPr>
        <w:t>Agency No. 41  GASB 2730  State Computer Center</w:t>
      </w:r>
      <w:r w:rsidR="00034DB4">
        <w:rPr>
          <w:sz w:val="24"/>
        </w:rPr>
        <w:t>, Dept. of Information Technology</w:t>
      </w:r>
    </w:p>
    <w:p w14:paraId="24A21D4B" w14:textId="77777777" w:rsidR="006C7B21" w:rsidRPr="00962BE8" w:rsidRDefault="006C7B21" w:rsidP="00962BE8">
      <w:pPr>
        <w:numPr>
          <w:ilvl w:val="0"/>
          <w:numId w:val="3"/>
        </w:numPr>
        <w:tabs>
          <w:tab w:val="left" w:pos="360"/>
        </w:tabs>
        <w:rPr>
          <w:sz w:val="24"/>
        </w:rPr>
      </w:pPr>
      <w:r>
        <w:rPr>
          <w:sz w:val="24"/>
        </w:rPr>
        <w:t>Agency No. 41  GASB 2731  State Telecommunications Services</w:t>
      </w:r>
      <w:r w:rsidR="00034DB4">
        <w:rPr>
          <w:sz w:val="24"/>
        </w:rPr>
        <w:t>, Dept. of Information Technology</w:t>
      </w:r>
    </w:p>
    <w:p w14:paraId="7A4A83D5" w14:textId="77777777" w:rsidR="00A801FE" w:rsidRPr="00A801FE" w:rsidRDefault="00A801FE" w:rsidP="00A801FE">
      <w:pPr>
        <w:tabs>
          <w:tab w:val="left" w:pos="360"/>
        </w:tabs>
        <w:spacing w:line="240" w:lineRule="exact"/>
        <w:rPr>
          <w:sz w:val="24"/>
        </w:rPr>
      </w:pPr>
    </w:p>
    <w:p w14:paraId="17B08E6C" w14:textId="5CFF2287" w:rsidR="006C7B21" w:rsidRDefault="006C7B21">
      <w:pPr>
        <w:pStyle w:val="BodyText"/>
      </w:pPr>
      <w:r>
        <w:t xml:space="preserve">If the </w:t>
      </w:r>
      <w:r w:rsidR="007C40E9">
        <w:t>million</w:t>
      </w:r>
      <w:r>
        <w:t xml:space="preserve"> dollar threshold is met, please contac</w:t>
      </w:r>
      <w:r w:rsidR="003074CF">
        <w:t xml:space="preserve">t </w:t>
      </w:r>
      <w:r w:rsidR="003074CF" w:rsidRPr="003074CF">
        <w:t>(via email preferably)</w:t>
      </w:r>
      <w:r>
        <w:t xml:space="preserve"> the agency involved to obtain information on the agency number and the GASB number and the agency’s agreement with the amount.  </w:t>
      </w:r>
      <w:r w:rsidR="003074CF" w:rsidRPr="003074CF">
        <w:t xml:space="preserve">Confirmation and agreement of the balances between the two agencies involved prior to submission of the </w:t>
      </w:r>
      <w:r w:rsidR="0091217F">
        <w:t>ACFR</w:t>
      </w:r>
      <w:r w:rsidR="003074CF" w:rsidRPr="003074CF">
        <w:t xml:space="preserve"> package is critical. Please save/file supporting documentation for further inquiries</w:t>
      </w:r>
      <w:r w:rsidR="00A70296">
        <w:t>.</w:t>
      </w:r>
    </w:p>
    <w:p w14:paraId="6B548B71" w14:textId="77777777" w:rsidR="006C7B21" w:rsidRDefault="006C7B21">
      <w:pPr>
        <w:rPr>
          <w:sz w:val="24"/>
        </w:rPr>
      </w:pPr>
    </w:p>
    <w:p w14:paraId="25764F76" w14:textId="546F8F98" w:rsidR="006C7B21" w:rsidRDefault="006C7B21">
      <w:pPr>
        <w:pStyle w:val="BodyText"/>
      </w:pPr>
      <w:r>
        <w:t xml:space="preserve">The total amount recorded on </w:t>
      </w:r>
      <w:r w:rsidR="004D1969">
        <w:t>the</w:t>
      </w:r>
      <w:r>
        <w:t xml:space="preserve"> schedule </w:t>
      </w:r>
      <w:r>
        <w:rPr>
          <w:u w:val="single"/>
        </w:rPr>
        <w:t>must</w:t>
      </w:r>
      <w:r>
        <w:t xml:space="preserve"> tie to the total due to primary government shown on the Statement of Net </w:t>
      </w:r>
      <w:r w:rsidR="00962BE8">
        <w:t>Position</w:t>
      </w:r>
      <w:r>
        <w:t xml:space="preserve"> (Exhibit A).  If the college has recorded other amounts not meeting any of the above criteria as Due to Primary Government, these amounts should be reclassified as accounts payable for r</w:t>
      </w:r>
      <w:r w:rsidR="004D1969">
        <w:t>eporting</w:t>
      </w:r>
      <w:r w:rsidR="003D330D">
        <w:t xml:space="preserve"> in the</w:t>
      </w:r>
      <w:r w:rsidR="00E56EE6">
        <w:t xml:space="preserve"> </w:t>
      </w:r>
      <w:r w:rsidR="0032509C">
        <w:t>ACFR</w:t>
      </w:r>
      <w:r w:rsidR="004D1969">
        <w:t xml:space="preserve">.  </w:t>
      </w:r>
    </w:p>
    <w:p w14:paraId="535262E9" w14:textId="77777777" w:rsidR="008C6656" w:rsidRDefault="008C6656">
      <w:pPr>
        <w:spacing w:line="240" w:lineRule="exact"/>
        <w:rPr>
          <w:b/>
          <w:caps/>
          <w:sz w:val="24"/>
          <w:u w:val="single"/>
        </w:rPr>
      </w:pPr>
    </w:p>
    <w:p w14:paraId="7063A39E" w14:textId="77777777" w:rsidR="008C6656" w:rsidRDefault="008C6656">
      <w:pPr>
        <w:spacing w:line="240" w:lineRule="exact"/>
        <w:rPr>
          <w:b/>
          <w:caps/>
          <w:sz w:val="24"/>
          <w:u w:val="single"/>
        </w:rPr>
      </w:pPr>
    </w:p>
    <w:p w14:paraId="2BAA19D9" w14:textId="1AA96A67" w:rsidR="006C7B21" w:rsidRDefault="006C7B21">
      <w:pPr>
        <w:spacing w:line="240" w:lineRule="exact"/>
        <w:rPr>
          <w:b/>
          <w:caps/>
          <w:sz w:val="24"/>
          <w:u w:val="single"/>
        </w:rPr>
      </w:pPr>
      <w:r>
        <w:rPr>
          <w:b/>
          <w:caps/>
          <w:sz w:val="24"/>
          <w:u w:val="single"/>
        </w:rPr>
        <w:t xml:space="preserve">Schedules of Due </w:t>
      </w:r>
      <w:r w:rsidR="0040487A">
        <w:rPr>
          <w:b/>
          <w:caps/>
          <w:sz w:val="24"/>
          <w:u w:val="single"/>
        </w:rPr>
        <w:t>TO/</w:t>
      </w:r>
      <w:r>
        <w:rPr>
          <w:b/>
          <w:caps/>
          <w:sz w:val="24"/>
          <w:u w:val="single"/>
        </w:rPr>
        <w:t>From</w:t>
      </w:r>
      <w:r w:rsidR="000C036B">
        <w:rPr>
          <w:b/>
          <w:caps/>
          <w:sz w:val="24"/>
          <w:u w:val="single"/>
        </w:rPr>
        <w:t xml:space="preserve">/Restricted Due </w:t>
      </w:r>
      <w:r w:rsidR="0040487A">
        <w:rPr>
          <w:b/>
          <w:caps/>
          <w:sz w:val="24"/>
          <w:u w:val="single"/>
        </w:rPr>
        <w:t>TO/</w:t>
      </w:r>
      <w:r w:rsidR="000C036B">
        <w:rPr>
          <w:b/>
          <w:caps/>
          <w:sz w:val="24"/>
          <w:u w:val="single"/>
        </w:rPr>
        <w:t xml:space="preserve">From </w:t>
      </w:r>
      <w:r>
        <w:rPr>
          <w:b/>
          <w:caps/>
          <w:sz w:val="24"/>
          <w:u w:val="single"/>
        </w:rPr>
        <w:t xml:space="preserve">STATE OF nc Component Units </w:t>
      </w:r>
      <w:r>
        <w:rPr>
          <w:b/>
          <w:sz w:val="24"/>
          <w:u w:val="single"/>
        </w:rPr>
        <w:t>(</w:t>
      </w:r>
      <w:r w:rsidR="000A4569">
        <w:rPr>
          <w:b/>
          <w:sz w:val="24"/>
          <w:u w:val="single"/>
        </w:rPr>
        <w:t>525 and 530</w:t>
      </w:r>
      <w:r>
        <w:rPr>
          <w:b/>
          <w:sz w:val="24"/>
          <w:u w:val="single"/>
        </w:rPr>
        <w:t>)</w:t>
      </w:r>
    </w:p>
    <w:p w14:paraId="37AE6789" w14:textId="77777777" w:rsidR="006C7B21" w:rsidRDefault="006C7B21">
      <w:pPr>
        <w:spacing w:line="240" w:lineRule="exact"/>
        <w:rPr>
          <w:sz w:val="24"/>
        </w:rPr>
      </w:pPr>
    </w:p>
    <w:p w14:paraId="45A3B2D6" w14:textId="5FB3411C" w:rsidR="00783AF0" w:rsidRDefault="00783AF0">
      <w:pPr>
        <w:spacing w:line="240" w:lineRule="exact"/>
        <w:rPr>
          <w:sz w:val="24"/>
        </w:rPr>
      </w:pPr>
      <w:r w:rsidRPr="00460698">
        <w:rPr>
          <w:rFonts w:ascii="Arial" w:hAnsi="Arial"/>
          <w:color w:val="FF0000"/>
        </w:rPr>
        <w:t xml:space="preserve">For </w:t>
      </w:r>
      <w:r w:rsidR="00BA7019">
        <w:rPr>
          <w:rFonts w:ascii="Arial" w:hAnsi="Arial"/>
          <w:color w:val="FF0000"/>
        </w:rPr>
        <w:t>schedules</w:t>
      </w:r>
      <w:r>
        <w:rPr>
          <w:rFonts w:ascii="Arial" w:hAnsi="Arial"/>
          <w:color w:val="FF0000"/>
        </w:rPr>
        <w:t xml:space="preserve"> 525</w:t>
      </w:r>
      <w:r w:rsidR="0040487A">
        <w:rPr>
          <w:rFonts w:ascii="Arial" w:hAnsi="Arial"/>
          <w:color w:val="FF0000"/>
        </w:rPr>
        <w:t xml:space="preserve"> and 530</w:t>
      </w:r>
      <w:r w:rsidRPr="00460698">
        <w:rPr>
          <w:rFonts w:ascii="Arial" w:hAnsi="Arial"/>
          <w:color w:val="FF0000"/>
        </w:rPr>
        <w:t xml:space="preserve">, there is NO threshold for </w:t>
      </w:r>
      <w:r>
        <w:rPr>
          <w:rFonts w:ascii="Arial" w:hAnsi="Arial"/>
          <w:color w:val="FF0000"/>
        </w:rPr>
        <w:t xml:space="preserve">amounts due </w:t>
      </w:r>
      <w:r w:rsidR="0040487A">
        <w:rPr>
          <w:rFonts w:ascii="Arial" w:hAnsi="Arial"/>
          <w:color w:val="FF0000"/>
        </w:rPr>
        <w:t>to/</w:t>
      </w:r>
      <w:r>
        <w:rPr>
          <w:rFonts w:ascii="Arial" w:hAnsi="Arial"/>
          <w:color w:val="FF0000"/>
        </w:rPr>
        <w:t>from State of NC component units</w:t>
      </w:r>
      <w:r w:rsidRPr="00460698">
        <w:rPr>
          <w:rFonts w:ascii="Arial" w:hAnsi="Arial"/>
          <w:color w:val="FF0000"/>
        </w:rPr>
        <w:t xml:space="preserve"> related to Coronavirus Funds. In the Comments section of </w:t>
      </w:r>
      <w:r>
        <w:rPr>
          <w:rFonts w:ascii="Arial" w:hAnsi="Arial"/>
          <w:color w:val="FF0000"/>
        </w:rPr>
        <w:t>this</w:t>
      </w:r>
      <w:r w:rsidRPr="00460698">
        <w:rPr>
          <w:rFonts w:ascii="Arial" w:hAnsi="Arial"/>
          <w:color w:val="FF0000"/>
        </w:rPr>
        <w:t xml:space="preserve"> worksheet, </w:t>
      </w:r>
      <w:r>
        <w:rPr>
          <w:rFonts w:ascii="Arial" w:hAnsi="Arial"/>
          <w:color w:val="FF0000"/>
        </w:rPr>
        <w:t>colleges</w:t>
      </w:r>
      <w:r w:rsidRPr="00460698">
        <w:rPr>
          <w:rFonts w:ascii="Arial" w:hAnsi="Arial"/>
          <w:color w:val="FF0000"/>
        </w:rPr>
        <w:t xml:space="preserve"> should indicate whether </w:t>
      </w:r>
      <w:r>
        <w:rPr>
          <w:rFonts w:ascii="Arial" w:hAnsi="Arial"/>
          <w:color w:val="FF0000"/>
        </w:rPr>
        <w:t xml:space="preserve">the Due </w:t>
      </w:r>
      <w:r w:rsidR="0040487A">
        <w:rPr>
          <w:rFonts w:ascii="Arial" w:hAnsi="Arial"/>
          <w:color w:val="FF0000"/>
        </w:rPr>
        <w:t>to/</w:t>
      </w:r>
      <w:r>
        <w:rPr>
          <w:rFonts w:ascii="Arial" w:hAnsi="Arial"/>
          <w:color w:val="FF0000"/>
        </w:rPr>
        <w:t>from State of NC Component Units</w:t>
      </w:r>
      <w:r w:rsidRPr="00460698">
        <w:rPr>
          <w:rFonts w:ascii="Arial" w:hAnsi="Arial"/>
          <w:color w:val="FF0000"/>
        </w:rPr>
        <w:t xml:space="preserve"> relates to (1) </w:t>
      </w:r>
      <w:r w:rsidR="00E56EE6">
        <w:rPr>
          <w:rFonts w:ascii="Arial" w:hAnsi="Arial"/>
          <w:color w:val="FF0000"/>
        </w:rPr>
        <w:t xml:space="preserve">CARES Act </w:t>
      </w:r>
      <w:r w:rsidRPr="00460698">
        <w:rPr>
          <w:rFonts w:ascii="Arial" w:hAnsi="Arial"/>
          <w:color w:val="FF0000"/>
        </w:rPr>
        <w:t xml:space="preserve">Coronavirus Relief Fund </w:t>
      </w:r>
      <w:r w:rsidR="00E56EE6">
        <w:rPr>
          <w:rFonts w:ascii="Arial" w:hAnsi="Arial"/>
          <w:color w:val="FF0000"/>
        </w:rPr>
        <w:t xml:space="preserve">(CRF) </w:t>
      </w:r>
      <w:r w:rsidRPr="00460698">
        <w:rPr>
          <w:rFonts w:ascii="Arial" w:hAnsi="Arial"/>
          <w:color w:val="FF0000"/>
        </w:rPr>
        <w:t>money</w:t>
      </w:r>
      <w:r>
        <w:rPr>
          <w:rFonts w:ascii="Arial" w:hAnsi="Arial"/>
          <w:color w:val="FF0000"/>
        </w:rPr>
        <w:t>,</w:t>
      </w:r>
      <w:r w:rsidRPr="00460698">
        <w:rPr>
          <w:rFonts w:ascii="Arial" w:hAnsi="Arial"/>
          <w:color w:val="FF0000"/>
        </w:rPr>
        <w:t xml:space="preserve"> OR (2) other coronavirus funds.</w:t>
      </w:r>
    </w:p>
    <w:p w14:paraId="7C443B6B" w14:textId="77777777" w:rsidR="00783AF0" w:rsidRDefault="00783AF0">
      <w:pPr>
        <w:spacing w:line="240" w:lineRule="exact"/>
        <w:rPr>
          <w:sz w:val="24"/>
        </w:rPr>
      </w:pPr>
    </w:p>
    <w:p w14:paraId="38C6B41C" w14:textId="34109C2D" w:rsidR="006C7B21" w:rsidRDefault="006C7B21">
      <w:pPr>
        <w:spacing w:line="240" w:lineRule="exact"/>
        <w:rPr>
          <w:sz w:val="24"/>
        </w:rPr>
      </w:pPr>
      <w:r>
        <w:rPr>
          <w:sz w:val="24"/>
        </w:rPr>
        <w:t xml:space="preserve">These two schedules should be completed by the college when there is a receivable/payable relationship with other component units of the State of </w:t>
      </w:r>
      <w:smartTag w:uri="urn:schemas-microsoft-com:office:smarttags" w:element="State">
        <w:smartTag w:uri="urn:schemas-microsoft-com:office:smarttags" w:element="place">
          <w:r>
            <w:rPr>
              <w:sz w:val="24"/>
            </w:rPr>
            <w:t>NC</w:t>
          </w:r>
        </w:smartTag>
      </w:smartTag>
      <w:r>
        <w:rPr>
          <w:sz w:val="24"/>
        </w:rPr>
        <w:t xml:space="preserve">.  Please refer to the list of Component Units provided below. </w:t>
      </w:r>
    </w:p>
    <w:p w14:paraId="39F858A2" w14:textId="77777777" w:rsidR="006C7B21" w:rsidRDefault="006C7B21">
      <w:pPr>
        <w:spacing w:line="240" w:lineRule="exact"/>
        <w:rPr>
          <w:sz w:val="24"/>
        </w:rPr>
      </w:pPr>
    </w:p>
    <w:p w14:paraId="076D1D1D" w14:textId="77777777" w:rsidR="006C7B21" w:rsidRDefault="006C7B21">
      <w:pPr>
        <w:pStyle w:val="BodyText"/>
      </w:pPr>
      <w:r>
        <w:t>Identify on the schedule amounts of $1,000,000 or more due to or due from an individual component unit agency.</w:t>
      </w:r>
    </w:p>
    <w:p w14:paraId="0002A859" w14:textId="77777777" w:rsidR="006C7B21" w:rsidRDefault="006C7B21">
      <w:pPr>
        <w:rPr>
          <w:sz w:val="24"/>
        </w:rPr>
      </w:pPr>
      <w:r>
        <w:rPr>
          <w:sz w:val="24"/>
        </w:rPr>
        <w:t xml:space="preserve"> </w:t>
      </w:r>
    </w:p>
    <w:p w14:paraId="04A8B781" w14:textId="1D770733" w:rsidR="00A70296" w:rsidRDefault="006C7B21" w:rsidP="00A70296">
      <w:pPr>
        <w:rPr>
          <w:sz w:val="24"/>
        </w:rPr>
      </w:pPr>
      <w:r>
        <w:rPr>
          <w:sz w:val="24"/>
        </w:rPr>
        <w:lastRenderedPageBreak/>
        <w:t xml:space="preserve">If this dollar threshold is met, please contact </w:t>
      </w:r>
      <w:r w:rsidR="00BA7019" w:rsidRPr="00BA7019">
        <w:rPr>
          <w:sz w:val="24"/>
        </w:rPr>
        <w:t xml:space="preserve">(via email preferably) </w:t>
      </w:r>
      <w:r>
        <w:rPr>
          <w:sz w:val="24"/>
        </w:rPr>
        <w:t xml:space="preserve">the agency involved </w:t>
      </w:r>
      <w:r w:rsidR="00A70296" w:rsidRPr="00A70296">
        <w:rPr>
          <w:sz w:val="24"/>
        </w:rPr>
        <w:t xml:space="preserve">to obtain information on the agency number and the GASB number and the agency’s agreement with the amount.  Confirmation and agreement of the balances between the two agencies involved prior to submission of the </w:t>
      </w:r>
      <w:r w:rsidR="0091217F">
        <w:rPr>
          <w:sz w:val="24"/>
        </w:rPr>
        <w:t>ACFR</w:t>
      </w:r>
      <w:r w:rsidR="00A70296" w:rsidRPr="00A70296">
        <w:rPr>
          <w:sz w:val="24"/>
        </w:rPr>
        <w:t xml:space="preserve"> package is critical. Please save/file supporting documentation for further inquiries.</w:t>
      </w:r>
    </w:p>
    <w:p w14:paraId="7516BDFE" w14:textId="0483B330" w:rsidR="00051934" w:rsidRDefault="00051934" w:rsidP="00A70296">
      <w:pPr>
        <w:rPr>
          <w:sz w:val="24"/>
        </w:rPr>
      </w:pPr>
    </w:p>
    <w:p w14:paraId="4B7DD9EE" w14:textId="4257EA54" w:rsidR="00051934" w:rsidRPr="00A70296" w:rsidRDefault="00051934" w:rsidP="00A70296">
      <w:pPr>
        <w:rPr>
          <w:sz w:val="24"/>
        </w:rPr>
      </w:pPr>
      <w:r w:rsidRPr="00051934">
        <w:rPr>
          <w:sz w:val="24"/>
        </w:rPr>
        <w:t>The total amount recorded on the schedule</w:t>
      </w:r>
      <w:r w:rsidR="00F11221">
        <w:rPr>
          <w:sz w:val="24"/>
        </w:rPr>
        <w:t>s</w:t>
      </w:r>
      <w:r w:rsidRPr="00051934">
        <w:rPr>
          <w:sz w:val="24"/>
        </w:rPr>
        <w:t xml:space="preserve"> </w:t>
      </w:r>
      <w:r w:rsidRPr="00F11221">
        <w:rPr>
          <w:sz w:val="24"/>
          <w:u w:val="single"/>
        </w:rPr>
        <w:t>must</w:t>
      </w:r>
      <w:r w:rsidRPr="00051934">
        <w:rPr>
          <w:sz w:val="24"/>
        </w:rPr>
        <w:t xml:space="preserve"> tie to the total due to </w:t>
      </w:r>
      <w:r w:rsidR="00F11221">
        <w:rPr>
          <w:sz w:val="24"/>
        </w:rPr>
        <w:t xml:space="preserve">State of NC Component Units </w:t>
      </w:r>
      <w:r w:rsidR="00F11221" w:rsidRPr="00051934">
        <w:rPr>
          <w:sz w:val="24"/>
        </w:rPr>
        <w:t>shown</w:t>
      </w:r>
      <w:r w:rsidRPr="00051934">
        <w:rPr>
          <w:sz w:val="24"/>
        </w:rPr>
        <w:t xml:space="preserve"> on the Statement of Net Position (Exhibit A).  If the college has recorded other amounts not meeting any of the above criteria as Due </w:t>
      </w:r>
      <w:r w:rsidR="00A71C88">
        <w:rPr>
          <w:sz w:val="24"/>
        </w:rPr>
        <w:t>T</w:t>
      </w:r>
      <w:r w:rsidRPr="00051934">
        <w:rPr>
          <w:sz w:val="24"/>
        </w:rPr>
        <w:t>o</w:t>
      </w:r>
      <w:r w:rsidR="00A71C88">
        <w:rPr>
          <w:sz w:val="24"/>
        </w:rPr>
        <w:t xml:space="preserve">/Due From </w:t>
      </w:r>
      <w:r w:rsidR="00F11221">
        <w:rPr>
          <w:sz w:val="24"/>
        </w:rPr>
        <w:t>State of NC Component Units</w:t>
      </w:r>
      <w:r w:rsidRPr="00051934">
        <w:rPr>
          <w:sz w:val="24"/>
        </w:rPr>
        <w:t xml:space="preserve">, these amounts should be reclassified as accounts </w:t>
      </w:r>
      <w:r w:rsidR="00A71C88">
        <w:rPr>
          <w:sz w:val="24"/>
        </w:rPr>
        <w:t>receivable/</w:t>
      </w:r>
      <w:r w:rsidRPr="00051934">
        <w:rPr>
          <w:sz w:val="24"/>
        </w:rPr>
        <w:t xml:space="preserve">payable for reporting in the </w:t>
      </w:r>
      <w:r w:rsidR="002856E1">
        <w:rPr>
          <w:sz w:val="24"/>
        </w:rPr>
        <w:t>ACFR</w:t>
      </w:r>
      <w:r w:rsidR="00F11221">
        <w:rPr>
          <w:sz w:val="24"/>
        </w:rPr>
        <w:t>.</w:t>
      </w:r>
    </w:p>
    <w:p w14:paraId="01010466" w14:textId="5794740D" w:rsidR="006C7B21" w:rsidRDefault="006C7B21">
      <w:pPr>
        <w:spacing w:line="240" w:lineRule="exact"/>
        <w:rPr>
          <w:sz w:val="24"/>
        </w:rPr>
      </w:pPr>
    </w:p>
    <w:p w14:paraId="1F127B06" w14:textId="77777777" w:rsidR="006C7B21" w:rsidRDefault="006C7B21">
      <w:pPr>
        <w:spacing w:line="240" w:lineRule="exact"/>
        <w:rPr>
          <w:sz w:val="24"/>
        </w:rPr>
      </w:pPr>
    </w:p>
    <w:p w14:paraId="434C2CB1" w14:textId="77777777" w:rsidR="006C7B21" w:rsidRDefault="006C7B21">
      <w:pPr>
        <w:spacing w:line="-240" w:lineRule="auto"/>
        <w:jc w:val="center"/>
        <w:rPr>
          <w:b/>
          <w:sz w:val="24"/>
        </w:rPr>
      </w:pPr>
      <w:r>
        <w:rPr>
          <w:b/>
          <w:sz w:val="24"/>
        </w:rPr>
        <w:t>LIST OF COMPONENT UNITS</w:t>
      </w:r>
    </w:p>
    <w:p w14:paraId="5C5B5BEA" w14:textId="04A5B091" w:rsidR="006C7B21" w:rsidRDefault="006C7B21" w:rsidP="00E56EE6">
      <w:pPr>
        <w:spacing w:line="-240" w:lineRule="auto"/>
        <w:rPr>
          <w:b/>
          <w:sz w:val="24"/>
        </w:rPr>
      </w:pPr>
    </w:p>
    <w:p w14:paraId="37E20324" w14:textId="4BD5805B" w:rsidR="00E81A14" w:rsidRDefault="00E81A14" w:rsidP="00E81A14">
      <w:pPr>
        <w:rPr>
          <w:rFonts w:ascii="Arial" w:hAnsi="Arial"/>
        </w:rPr>
      </w:pPr>
      <w:r>
        <w:rPr>
          <w:rFonts w:ascii="Arial" w:hAnsi="Arial"/>
        </w:rPr>
        <w:t xml:space="preserve">The following agencies are considered component units of the State of North Carolina for the </w:t>
      </w:r>
      <w:r w:rsidR="003F6902">
        <w:rPr>
          <w:rFonts w:ascii="Arial" w:hAnsi="Arial"/>
        </w:rPr>
        <w:t>20</w:t>
      </w:r>
      <w:r w:rsidR="0048788C">
        <w:rPr>
          <w:rFonts w:ascii="Arial" w:hAnsi="Arial"/>
        </w:rPr>
        <w:t>2</w:t>
      </w:r>
      <w:r w:rsidR="00E56EE6">
        <w:rPr>
          <w:rFonts w:ascii="Arial" w:hAnsi="Arial"/>
        </w:rPr>
        <w:t>2</w:t>
      </w:r>
      <w:r w:rsidR="00A801FE">
        <w:rPr>
          <w:rFonts w:ascii="Arial" w:hAnsi="Arial"/>
        </w:rPr>
        <w:t xml:space="preserve"> </w:t>
      </w:r>
      <w:r w:rsidR="002856E1">
        <w:rPr>
          <w:rFonts w:ascii="Arial" w:hAnsi="Arial"/>
        </w:rPr>
        <w:t>ACFR</w:t>
      </w:r>
      <w:r w:rsidR="00893185">
        <w:rPr>
          <w:rFonts w:ascii="Arial" w:hAnsi="Arial"/>
        </w:rPr>
        <w:t xml:space="preserve"> Financial Report</w:t>
      </w:r>
      <w:r w:rsidR="00A801FE">
        <w:rPr>
          <w:rFonts w:ascii="Arial" w:hAnsi="Arial"/>
        </w:rPr>
        <w:t xml:space="preserve">. </w:t>
      </w:r>
      <w:r w:rsidR="00893185">
        <w:rPr>
          <w:rFonts w:ascii="Arial" w:hAnsi="Arial"/>
        </w:rPr>
        <w:t xml:space="preserve"> </w:t>
      </w:r>
      <w:r>
        <w:rPr>
          <w:rFonts w:ascii="Arial" w:hAnsi="Arial"/>
        </w:rPr>
        <w:t xml:space="preserve">Also refer to the Agencies list in the </w:t>
      </w:r>
      <w:r w:rsidR="0091217F">
        <w:rPr>
          <w:rFonts w:ascii="Arial" w:hAnsi="Arial"/>
        </w:rPr>
        <w:t>ACFR</w:t>
      </w:r>
      <w:r>
        <w:rPr>
          <w:rFonts w:ascii="Arial" w:hAnsi="Arial"/>
        </w:rPr>
        <w:t xml:space="preserve"> Excel workbook for names of colleges and universities</w:t>
      </w:r>
      <w:r w:rsidR="003A2F2E">
        <w:rPr>
          <w:rFonts w:ascii="Arial" w:hAnsi="Arial"/>
        </w:rPr>
        <w:t xml:space="preserve"> and all state agencies</w:t>
      </w:r>
      <w:r>
        <w:rPr>
          <w:rFonts w:ascii="Arial" w:hAnsi="Arial"/>
        </w:rPr>
        <w:t xml:space="preserve">. </w:t>
      </w:r>
    </w:p>
    <w:p w14:paraId="749F3B77" w14:textId="77777777" w:rsidR="00E81A14" w:rsidRDefault="00E81A14" w:rsidP="00E81A14">
      <w:pPr>
        <w:rPr>
          <w:rFonts w:ascii="Arial" w:hAnsi="Arial"/>
          <w:u w:val="single"/>
        </w:rPr>
      </w:pPr>
    </w:p>
    <w:p w14:paraId="1BB937B3" w14:textId="77777777" w:rsidR="00E81A14" w:rsidRDefault="00E81A14" w:rsidP="00E81A14">
      <w:pPr>
        <w:rPr>
          <w:rFonts w:ascii="Arial" w:hAnsi="Arial"/>
        </w:rPr>
      </w:pPr>
      <w:r>
        <w:rPr>
          <w:rFonts w:ascii="Arial" w:hAnsi="Arial"/>
          <w:u w:val="single"/>
        </w:rPr>
        <w:t>Agency</w:t>
      </w:r>
      <w:r>
        <w:rPr>
          <w:rFonts w:ascii="Arial" w:hAnsi="Arial"/>
        </w:rPr>
        <w:tab/>
      </w:r>
      <w:r>
        <w:rPr>
          <w:rFonts w:ascii="Arial" w:hAnsi="Arial"/>
        </w:rPr>
        <w:tab/>
      </w:r>
      <w:r>
        <w:rPr>
          <w:rFonts w:ascii="Arial" w:hAnsi="Arial"/>
          <w:u w:val="single"/>
        </w:rPr>
        <w:t>GASB</w:t>
      </w:r>
      <w:r>
        <w:rPr>
          <w:rFonts w:ascii="Arial" w:hAnsi="Arial"/>
        </w:rPr>
        <w:tab/>
      </w:r>
      <w:r>
        <w:rPr>
          <w:rFonts w:ascii="Arial" w:hAnsi="Arial"/>
          <w:u w:val="single"/>
        </w:rPr>
        <w:t>Name</w:t>
      </w:r>
    </w:p>
    <w:p w14:paraId="2B9A7E0F" w14:textId="77777777" w:rsidR="00C5205D" w:rsidRDefault="00C5205D" w:rsidP="00C5205D">
      <w:pPr>
        <w:rPr>
          <w:rFonts w:ascii="Arial" w:hAnsi="Arial"/>
        </w:rPr>
      </w:pPr>
      <w:r>
        <w:rPr>
          <w:rFonts w:ascii="Arial" w:hAnsi="Arial"/>
        </w:rPr>
        <w:t>0A</w:t>
      </w:r>
      <w:r>
        <w:rPr>
          <w:rFonts w:ascii="Arial" w:hAnsi="Arial"/>
        </w:rPr>
        <w:tab/>
      </w:r>
      <w:r>
        <w:rPr>
          <w:rFonts w:ascii="Arial" w:hAnsi="Arial"/>
        </w:rPr>
        <w:tab/>
        <w:t>2611</w:t>
      </w:r>
      <w:r>
        <w:rPr>
          <w:rFonts w:ascii="Arial" w:hAnsi="Arial"/>
        </w:rPr>
        <w:tab/>
        <w:t>N.C. Housing Finance Agency</w:t>
      </w:r>
    </w:p>
    <w:p w14:paraId="60E2C97C" w14:textId="77777777" w:rsidR="00C5205D" w:rsidRDefault="00C5205D" w:rsidP="00C5205D">
      <w:pPr>
        <w:rPr>
          <w:rFonts w:ascii="Arial" w:hAnsi="Arial"/>
        </w:rPr>
      </w:pPr>
      <w:r>
        <w:rPr>
          <w:rFonts w:ascii="Arial" w:hAnsi="Arial"/>
        </w:rPr>
        <w:t>07</w:t>
      </w:r>
      <w:r>
        <w:rPr>
          <w:rFonts w:ascii="Arial" w:hAnsi="Arial"/>
        </w:rPr>
        <w:tab/>
      </w:r>
      <w:r>
        <w:rPr>
          <w:rFonts w:ascii="Arial" w:hAnsi="Arial"/>
        </w:rPr>
        <w:tab/>
        <w:t>2629</w:t>
      </w:r>
      <w:r>
        <w:rPr>
          <w:rFonts w:ascii="Arial" w:hAnsi="Arial"/>
        </w:rPr>
        <w:tab/>
        <w:t xml:space="preserve">Div. of State Health Plan, </w:t>
      </w:r>
      <w:r w:rsidR="007C26BF">
        <w:rPr>
          <w:rFonts w:ascii="Arial" w:hAnsi="Arial"/>
        </w:rPr>
        <w:t>Dept.</w:t>
      </w:r>
      <w:r>
        <w:rPr>
          <w:rFonts w:ascii="Arial" w:hAnsi="Arial"/>
        </w:rPr>
        <w:t xml:space="preserve"> of State Treasurer </w:t>
      </w:r>
    </w:p>
    <w:p w14:paraId="7758712F" w14:textId="77777777" w:rsidR="00C5205D" w:rsidRDefault="00C5205D" w:rsidP="00C5205D">
      <w:pPr>
        <w:rPr>
          <w:rFonts w:ascii="Arial" w:hAnsi="Arial"/>
        </w:rPr>
      </w:pPr>
      <w:r>
        <w:rPr>
          <w:rFonts w:ascii="Arial" w:hAnsi="Arial"/>
        </w:rPr>
        <w:t>48</w:t>
      </w:r>
      <w:r>
        <w:rPr>
          <w:rFonts w:ascii="Arial" w:hAnsi="Arial"/>
        </w:rPr>
        <w:tab/>
      </w:r>
      <w:r>
        <w:rPr>
          <w:rFonts w:ascii="Arial" w:hAnsi="Arial"/>
        </w:rPr>
        <w:tab/>
        <w:t>263X</w:t>
      </w:r>
      <w:r>
        <w:rPr>
          <w:rFonts w:ascii="Arial" w:hAnsi="Arial"/>
        </w:rPr>
        <w:tab/>
        <w:t>UNC Hospitals (part of UNC System – see Agencies list)</w:t>
      </w:r>
    </w:p>
    <w:p w14:paraId="16FB21CC" w14:textId="77777777" w:rsidR="00C5205D" w:rsidRDefault="00C5205D" w:rsidP="00C5205D">
      <w:pPr>
        <w:rPr>
          <w:rFonts w:ascii="Arial" w:hAnsi="Arial"/>
        </w:rPr>
      </w:pPr>
      <w:r>
        <w:rPr>
          <w:rFonts w:ascii="Arial" w:hAnsi="Arial"/>
        </w:rPr>
        <w:t>48L</w:t>
      </w:r>
      <w:r>
        <w:rPr>
          <w:rFonts w:ascii="Arial" w:hAnsi="Arial"/>
        </w:rPr>
        <w:tab/>
      </w:r>
      <w:r>
        <w:rPr>
          <w:rFonts w:ascii="Arial" w:hAnsi="Arial"/>
        </w:rPr>
        <w:tab/>
        <w:t>2632</w:t>
      </w:r>
      <w:r>
        <w:rPr>
          <w:rFonts w:ascii="Arial" w:hAnsi="Arial"/>
        </w:rPr>
        <w:tab/>
        <w:t>UNC Hospitals LITF (part of UNC System – see Agencies list)</w:t>
      </w:r>
    </w:p>
    <w:p w14:paraId="3B4C3D31" w14:textId="77777777" w:rsidR="00C5205D" w:rsidRDefault="00C5205D" w:rsidP="00C5205D">
      <w:pPr>
        <w:rPr>
          <w:rFonts w:ascii="Arial" w:hAnsi="Arial"/>
        </w:rPr>
      </w:pPr>
      <w:r>
        <w:rPr>
          <w:rFonts w:ascii="Arial" w:hAnsi="Arial"/>
        </w:rPr>
        <w:t>48E</w:t>
      </w:r>
      <w:r>
        <w:rPr>
          <w:rFonts w:ascii="Arial" w:hAnsi="Arial"/>
        </w:rPr>
        <w:tab/>
      </w:r>
      <w:r>
        <w:rPr>
          <w:rFonts w:ascii="Arial" w:hAnsi="Arial"/>
        </w:rPr>
        <w:tab/>
        <w:t>2635</w:t>
      </w:r>
      <w:r>
        <w:rPr>
          <w:rFonts w:ascii="Arial" w:hAnsi="Arial"/>
        </w:rPr>
        <w:tab/>
        <w:t>UNC Hospitals Enterprise Fund (part of UNC System – see Agencies list)</w:t>
      </w:r>
    </w:p>
    <w:p w14:paraId="76D44F79" w14:textId="77777777" w:rsidR="00C5205D" w:rsidRDefault="00C5205D" w:rsidP="00C5205D">
      <w:pPr>
        <w:rPr>
          <w:rFonts w:ascii="Arial" w:hAnsi="Arial"/>
        </w:rPr>
      </w:pPr>
      <w:r>
        <w:rPr>
          <w:rFonts w:ascii="Arial" w:hAnsi="Arial"/>
        </w:rPr>
        <w:t>48R</w:t>
      </w:r>
      <w:r>
        <w:rPr>
          <w:rFonts w:ascii="Arial" w:hAnsi="Arial"/>
        </w:rPr>
        <w:tab/>
      </w:r>
      <w:r>
        <w:rPr>
          <w:rFonts w:ascii="Arial" w:hAnsi="Arial"/>
        </w:rPr>
        <w:tab/>
        <w:t>2637</w:t>
      </w:r>
      <w:r>
        <w:rPr>
          <w:rFonts w:ascii="Arial" w:hAnsi="Arial"/>
        </w:rPr>
        <w:tab/>
        <w:t>Rex Healthcare (part of UNC System – see Agencies list)</w:t>
      </w:r>
    </w:p>
    <w:p w14:paraId="49F9CA85" w14:textId="77777777" w:rsidR="00C5205D" w:rsidRDefault="00C5205D" w:rsidP="00C5205D">
      <w:pPr>
        <w:rPr>
          <w:rFonts w:ascii="Arial" w:hAnsi="Arial"/>
        </w:rPr>
      </w:pPr>
      <w:r>
        <w:rPr>
          <w:rFonts w:ascii="Arial" w:hAnsi="Arial"/>
        </w:rPr>
        <w:t>48C</w:t>
      </w:r>
      <w:r>
        <w:rPr>
          <w:rFonts w:ascii="Arial" w:hAnsi="Arial"/>
        </w:rPr>
        <w:tab/>
      </w:r>
      <w:r>
        <w:rPr>
          <w:rFonts w:ascii="Arial" w:hAnsi="Arial"/>
        </w:rPr>
        <w:tab/>
        <w:t>2638</w:t>
      </w:r>
      <w:r>
        <w:rPr>
          <w:rFonts w:ascii="Arial" w:hAnsi="Arial"/>
        </w:rPr>
        <w:tab/>
        <w:t>Chatham Hospital (part of UNC System – see Agencies list)</w:t>
      </w:r>
    </w:p>
    <w:p w14:paraId="0EDB2A02" w14:textId="77777777" w:rsidR="00C5205D" w:rsidRDefault="00C5205D" w:rsidP="00C5205D">
      <w:pPr>
        <w:rPr>
          <w:rFonts w:ascii="Arial" w:hAnsi="Arial"/>
        </w:rPr>
      </w:pPr>
      <w:r>
        <w:rPr>
          <w:rFonts w:ascii="Arial" w:hAnsi="Arial"/>
        </w:rPr>
        <w:t>48T</w:t>
      </w:r>
      <w:r>
        <w:rPr>
          <w:rFonts w:ascii="Arial" w:hAnsi="Arial"/>
        </w:rPr>
        <w:tab/>
      </w:r>
      <w:r>
        <w:rPr>
          <w:rFonts w:ascii="Arial" w:hAnsi="Arial"/>
        </w:rPr>
        <w:tab/>
        <w:t>2639</w:t>
      </w:r>
      <w:r>
        <w:rPr>
          <w:rFonts w:ascii="Arial" w:hAnsi="Arial"/>
        </w:rPr>
        <w:tab/>
        <w:t>UNC Physicians Network (part of UNC System – see Agencies list)</w:t>
      </w:r>
    </w:p>
    <w:p w14:paraId="08E75277" w14:textId="77777777" w:rsidR="00C5205D" w:rsidRDefault="00C5205D" w:rsidP="00C5205D">
      <w:pPr>
        <w:rPr>
          <w:rFonts w:ascii="Arial" w:hAnsi="Arial"/>
        </w:rPr>
      </w:pPr>
      <w:r>
        <w:rPr>
          <w:rFonts w:ascii="Arial" w:hAnsi="Arial"/>
        </w:rPr>
        <w:t>48HP</w:t>
      </w:r>
      <w:r>
        <w:rPr>
          <w:rFonts w:ascii="Arial" w:hAnsi="Arial"/>
        </w:rPr>
        <w:tab/>
      </w:r>
      <w:r>
        <w:rPr>
          <w:rFonts w:ascii="Arial" w:hAnsi="Arial"/>
        </w:rPr>
        <w:tab/>
        <w:t>263X</w:t>
      </w:r>
      <w:r>
        <w:rPr>
          <w:rFonts w:ascii="Arial" w:hAnsi="Arial"/>
        </w:rPr>
        <w:tab/>
        <w:t>High Point Regional Health (part of UNC System – see Agencies list)</w:t>
      </w:r>
    </w:p>
    <w:p w14:paraId="2D535A80" w14:textId="77777777" w:rsidR="00C5205D" w:rsidRDefault="00C5205D" w:rsidP="00C5205D">
      <w:pPr>
        <w:rPr>
          <w:rFonts w:ascii="Arial" w:hAnsi="Arial"/>
        </w:rPr>
      </w:pPr>
      <w:r>
        <w:rPr>
          <w:rFonts w:ascii="Arial" w:hAnsi="Arial"/>
        </w:rPr>
        <w:t>48CW</w:t>
      </w:r>
      <w:r>
        <w:rPr>
          <w:rFonts w:ascii="Arial" w:hAnsi="Arial"/>
        </w:rPr>
        <w:tab/>
      </w:r>
      <w:r>
        <w:rPr>
          <w:rFonts w:ascii="Arial" w:hAnsi="Arial"/>
        </w:rPr>
        <w:tab/>
        <w:t>263X</w:t>
      </w:r>
      <w:r>
        <w:rPr>
          <w:rFonts w:ascii="Arial" w:hAnsi="Arial"/>
        </w:rPr>
        <w:tab/>
        <w:t>Caldwell Memorial Hospital (part of UNC System – see Agencies list)</w:t>
      </w:r>
    </w:p>
    <w:p w14:paraId="71C3ADF9" w14:textId="77777777" w:rsidR="00C5205D" w:rsidRDefault="00C5205D" w:rsidP="00C5205D">
      <w:pPr>
        <w:rPr>
          <w:rFonts w:ascii="Arial" w:hAnsi="Arial"/>
        </w:rPr>
      </w:pPr>
      <w:r>
        <w:rPr>
          <w:rFonts w:ascii="Arial" w:hAnsi="Arial"/>
        </w:rPr>
        <w:t>87</w:t>
      </w:r>
      <w:r>
        <w:rPr>
          <w:rFonts w:ascii="Arial" w:hAnsi="Arial"/>
        </w:rPr>
        <w:tab/>
      </w:r>
      <w:r>
        <w:rPr>
          <w:rFonts w:ascii="Arial" w:hAnsi="Arial"/>
        </w:rPr>
        <w:tab/>
        <w:t>4XXX</w:t>
      </w:r>
      <w:r>
        <w:rPr>
          <w:rFonts w:ascii="Arial" w:hAnsi="Arial"/>
        </w:rPr>
        <w:tab/>
        <w:t>NC School of Science &amp; Math (part of UNC System)</w:t>
      </w:r>
    </w:p>
    <w:p w14:paraId="7AF6229D" w14:textId="77777777" w:rsidR="00C5205D" w:rsidRDefault="00C5205D" w:rsidP="00C5205D">
      <w:pPr>
        <w:rPr>
          <w:rFonts w:ascii="Arial" w:hAnsi="Arial"/>
        </w:rPr>
      </w:pPr>
      <w:r>
        <w:rPr>
          <w:rFonts w:ascii="Arial" w:hAnsi="Arial"/>
        </w:rPr>
        <w:t>Z2</w:t>
      </w:r>
      <w:r>
        <w:rPr>
          <w:rFonts w:ascii="Arial" w:hAnsi="Arial"/>
        </w:rPr>
        <w:tab/>
      </w:r>
      <w:r>
        <w:rPr>
          <w:rFonts w:ascii="Arial" w:hAnsi="Arial"/>
        </w:rPr>
        <w:tab/>
        <w:t>2618</w:t>
      </w:r>
      <w:r>
        <w:rPr>
          <w:rFonts w:ascii="Arial" w:hAnsi="Arial"/>
        </w:rPr>
        <w:tab/>
        <w:t>N.C. Biotechnology Center</w:t>
      </w:r>
    </w:p>
    <w:p w14:paraId="4F9AD64C" w14:textId="77777777" w:rsidR="00C5205D" w:rsidRDefault="00C5205D" w:rsidP="00C5205D">
      <w:pPr>
        <w:rPr>
          <w:rFonts w:ascii="Arial" w:hAnsi="Arial"/>
        </w:rPr>
      </w:pPr>
      <w:r>
        <w:rPr>
          <w:rFonts w:ascii="Arial" w:hAnsi="Arial"/>
        </w:rPr>
        <w:t>Z3</w:t>
      </w:r>
      <w:r>
        <w:rPr>
          <w:rFonts w:ascii="Arial" w:hAnsi="Arial"/>
        </w:rPr>
        <w:tab/>
      </w:r>
      <w:r>
        <w:rPr>
          <w:rFonts w:ascii="Arial" w:hAnsi="Arial"/>
        </w:rPr>
        <w:tab/>
        <w:t>2615</w:t>
      </w:r>
      <w:r>
        <w:rPr>
          <w:rFonts w:ascii="Arial" w:hAnsi="Arial"/>
        </w:rPr>
        <w:tab/>
        <w:t>N.C. Global TransPark Authority</w:t>
      </w:r>
    </w:p>
    <w:p w14:paraId="021C05CB" w14:textId="77777777" w:rsidR="00C5205D" w:rsidRPr="008120AC" w:rsidRDefault="00C5205D" w:rsidP="00C5205D">
      <w:pPr>
        <w:rPr>
          <w:rFonts w:ascii="Arial" w:hAnsi="Arial"/>
        </w:rPr>
      </w:pPr>
      <w:r w:rsidRPr="008120AC">
        <w:rPr>
          <w:rFonts w:ascii="Arial" w:hAnsi="Arial"/>
        </w:rPr>
        <w:t>Z7</w:t>
      </w:r>
      <w:r w:rsidRPr="008120AC">
        <w:rPr>
          <w:rFonts w:ascii="Arial" w:hAnsi="Arial"/>
        </w:rPr>
        <w:tab/>
      </w:r>
      <w:r w:rsidRPr="008120AC">
        <w:rPr>
          <w:rFonts w:ascii="Arial" w:hAnsi="Arial"/>
        </w:rPr>
        <w:tab/>
        <w:t>2621</w:t>
      </w:r>
      <w:r w:rsidRPr="008120AC">
        <w:rPr>
          <w:rFonts w:ascii="Arial" w:hAnsi="Arial"/>
        </w:rPr>
        <w:tab/>
        <w:t>N.C. Partnership for Children</w:t>
      </w:r>
    </w:p>
    <w:p w14:paraId="0816EA9B" w14:textId="77777777" w:rsidR="00C5205D" w:rsidRDefault="00C5205D" w:rsidP="00C5205D">
      <w:pPr>
        <w:rPr>
          <w:rFonts w:ascii="Arial" w:hAnsi="Arial"/>
        </w:rPr>
      </w:pPr>
      <w:r>
        <w:rPr>
          <w:rFonts w:ascii="Arial" w:hAnsi="Arial"/>
        </w:rPr>
        <w:t>ZA</w:t>
      </w:r>
      <w:r>
        <w:rPr>
          <w:rFonts w:ascii="Arial" w:hAnsi="Arial"/>
        </w:rPr>
        <w:tab/>
      </w:r>
      <w:r>
        <w:rPr>
          <w:rFonts w:ascii="Arial" w:hAnsi="Arial"/>
        </w:rPr>
        <w:tab/>
        <w:t>2612</w:t>
      </w:r>
      <w:r>
        <w:rPr>
          <w:rFonts w:ascii="Arial" w:hAnsi="Arial"/>
        </w:rPr>
        <w:tab/>
        <w:t>State Ports Authority</w:t>
      </w:r>
    </w:p>
    <w:p w14:paraId="7232F614" w14:textId="77777777" w:rsidR="00C5205D" w:rsidRDefault="00C5205D" w:rsidP="00C5205D">
      <w:pPr>
        <w:rPr>
          <w:rFonts w:ascii="Arial" w:hAnsi="Arial"/>
        </w:rPr>
      </w:pPr>
      <w:r w:rsidRPr="008120AC">
        <w:rPr>
          <w:rFonts w:ascii="Arial" w:hAnsi="Arial"/>
        </w:rPr>
        <w:t>ZB</w:t>
      </w:r>
      <w:r w:rsidRPr="008120AC">
        <w:rPr>
          <w:rFonts w:ascii="Arial" w:hAnsi="Arial"/>
        </w:rPr>
        <w:tab/>
      </w:r>
      <w:r w:rsidRPr="008120AC">
        <w:rPr>
          <w:rFonts w:ascii="Arial" w:hAnsi="Arial"/>
        </w:rPr>
        <w:tab/>
        <w:t>2620</w:t>
      </w:r>
      <w:r w:rsidRPr="008120AC">
        <w:rPr>
          <w:rFonts w:ascii="Arial" w:hAnsi="Arial"/>
        </w:rPr>
        <w:tab/>
        <w:t>State Education Assistance Authority</w:t>
      </w:r>
    </w:p>
    <w:p w14:paraId="28174FD3" w14:textId="77777777" w:rsidR="00C5205D" w:rsidRDefault="00C5205D" w:rsidP="00C5205D">
      <w:pPr>
        <w:rPr>
          <w:rFonts w:ascii="Arial" w:hAnsi="Arial"/>
        </w:rPr>
      </w:pPr>
      <w:r w:rsidRPr="008120AC">
        <w:rPr>
          <w:rFonts w:ascii="Arial" w:hAnsi="Arial"/>
        </w:rPr>
        <w:t>ZG</w:t>
      </w:r>
      <w:r w:rsidRPr="008120AC">
        <w:rPr>
          <w:rFonts w:ascii="Arial" w:hAnsi="Arial"/>
        </w:rPr>
        <w:tab/>
      </w:r>
      <w:r w:rsidRPr="008120AC">
        <w:rPr>
          <w:rFonts w:ascii="Arial" w:hAnsi="Arial"/>
        </w:rPr>
        <w:tab/>
        <w:t>2626</w:t>
      </w:r>
      <w:r w:rsidRPr="008120AC">
        <w:rPr>
          <w:rFonts w:ascii="Arial" w:hAnsi="Arial"/>
        </w:rPr>
        <w:tab/>
        <w:t>Centennial Authority</w:t>
      </w:r>
    </w:p>
    <w:p w14:paraId="215E11DE" w14:textId="77777777" w:rsidR="00C5205D" w:rsidRDefault="00C5205D" w:rsidP="00C5205D">
      <w:pPr>
        <w:rPr>
          <w:rFonts w:ascii="Arial" w:hAnsi="Arial"/>
        </w:rPr>
      </w:pPr>
      <w:r>
        <w:rPr>
          <w:rFonts w:ascii="Arial" w:hAnsi="Arial"/>
        </w:rPr>
        <w:t>ZH</w:t>
      </w:r>
      <w:r>
        <w:rPr>
          <w:rFonts w:ascii="Arial" w:hAnsi="Arial"/>
        </w:rPr>
        <w:tab/>
      </w:r>
      <w:r>
        <w:rPr>
          <w:rFonts w:ascii="Arial" w:hAnsi="Arial"/>
        </w:rPr>
        <w:tab/>
        <w:t>2627</w:t>
      </w:r>
      <w:r>
        <w:rPr>
          <w:rFonts w:ascii="Arial" w:hAnsi="Arial"/>
        </w:rPr>
        <w:tab/>
        <w:t>North Carolina Railroad Company</w:t>
      </w:r>
    </w:p>
    <w:p w14:paraId="30E03EAD" w14:textId="77777777" w:rsidR="00C5205D" w:rsidRDefault="00C5205D" w:rsidP="00C5205D">
      <w:pPr>
        <w:rPr>
          <w:rFonts w:ascii="Arial" w:hAnsi="Arial"/>
        </w:rPr>
      </w:pPr>
      <w:r>
        <w:rPr>
          <w:rFonts w:ascii="Arial" w:hAnsi="Arial"/>
        </w:rPr>
        <w:t>ZI</w:t>
      </w:r>
      <w:r>
        <w:rPr>
          <w:rFonts w:ascii="Arial" w:hAnsi="Arial"/>
        </w:rPr>
        <w:tab/>
      </w:r>
      <w:r>
        <w:rPr>
          <w:rFonts w:ascii="Arial" w:hAnsi="Arial"/>
        </w:rPr>
        <w:tab/>
        <w:t>2640</w:t>
      </w:r>
      <w:r>
        <w:rPr>
          <w:rFonts w:ascii="Arial" w:hAnsi="Arial"/>
        </w:rPr>
        <w:tab/>
        <w:t xml:space="preserve">The Golden LEAF, Inc. </w:t>
      </w:r>
    </w:p>
    <w:p w14:paraId="25D14233" w14:textId="77777777" w:rsidR="00C5205D" w:rsidRDefault="00C5205D" w:rsidP="00C5205D">
      <w:pPr>
        <w:rPr>
          <w:rFonts w:ascii="Arial" w:hAnsi="Arial"/>
        </w:rPr>
      </w:pPr>
      <w:r>
        <w:rPr>
          <w:rFonts w:ascii="Arial" w:hAnsi="Arial"/>
        </w:rPr>
        <w:t>ZL</w:t>
      </w:r>
      <w:r>
        <w:rPr>
          <w:rFonts w:ascii="Arial" w:hAnsi="Arial"/>
        </w:rPr>
        <w:tab/>
      </w:r>
      <w:r>
        <w:rPr>
          <w:rFonts w:ascii="Arial" w:hAnsi="Arial"/>
        </w:rPr>
        <w:tab/>
        <w:t>4XXX</w:t>
      </w:r>
      <w:r>
        <w:rPr>
          <w:rFonts w:ascii="Arial" w:hAnsi="Arial"/>
        </w:rPr>
        <w:tab/>
        <w:t>Gateway University Research Park (Part of UNC System)</w:t>
      </w:r>
    </w:p>
    <w:p w14:paraId="67E55FB6" w14:textId="77777777" w:rsidR="00C5205D" w:rsidRDefault="00C5205D" w:rsidP="00C5205D">
      <w:pPr>
        <w:rPr>
          <w:rFonts w:ascii="Arial" w:hAnsi="Arial"/>
        </w:rPr>
      </w:pPr>
      <w:r>
        <w:rPr>
          <w:rFonts w:ascii="Arial" w:hAnsi="Arial"/>
        </w:rPr>
        <w:t>ZM</w:t>
      </w:r>
      <w:r>
        <w:rPr>
          <w:rFonts w:ascii="Arial" w:hAnsi="Arial"/>
        </w:rPr>
        <w:tab/>
      </w:r>
      <w:r>
        <w:rPr>
          <w:rFonts w:ascii="Arial" w:hAnsi="Arial"/>
        </w:rPr>
        <w:tab/>
        <w:t>2644</w:t>
      </w:r>
      <w:r>
        <w:rPr>
          <w:rFonts w:ascii="Arial" w:hAnsi="Arial"/>
        </w:rPr>
        <w:tab/>
        <w:t>Economic Development Partnership of NC</w:t>
      </w:r>
    </w:p>
    <w:p w14:paraId="6595CA5E" w14:textId="77777777" w:rsidR="00C5205D" w:rsidRDefault="00C5205D" w:rsidP="00C5205D">
      <w:pPr>
        <w:ind w:left="1440" w:hanging="1440"/>
        <w:rPr>
          <w:rFonts w:ascii="Arial" w:hAnsi="Arial"/>
        </w:rPr>
      </w:pPr>
      <w:r>
        <w:rPr>
          <w:rFonts w:ascii="Arial" w:hAnsi="Arial"/>
        </w:rPr>
        <w:t>UXX</w:t>
      </w:r>
      <w:r>
        <w:rPr>
          <w:rFonts w:ascii="Arial" w:hAnsi="Arial"/>
        </w:rPr>
        <w:tab/>
        <w:t>4XXX</w:t>
      </w:r>
      <w:r>
        <w:rPr>
          <w:rFonts w:ascii="Arial" w:hAnsi="Arial"/>
        </w:rPr>
        <w:tab/>
        <w:t>UNC System (16 universities and UNC Gen Administration – see Agencies list)</w:t>
      </w:r>
    </w:p>
    <w:p w14:paraId="3E815EA7" w14:textId="77777777" w:rsidR="00C5205D" w:rsidRDefault="00C5205D" w:rsidP="00C5205D">
      <w:pPr>
        <w:pStyle w:val="Footer"/>
        <w:tabs>
          <w:tab w:val="clear" w:pos="4320"/>
          <w:tab w:val="clear" w:pos="8640"/>
        </w:tabs>
        <w:rPr>
          <w:rFonts w:ascii="Arial" w:hAnsi="Arial"/>
        </w:rPr>
      </w:pPr>
      <w:r>
        <w:rPr>
          <w:rFonts w:ascii="Arial" w:hAnsi="Arial"/>
        </w:rPr>
        <w:t>CX-DX</w:t>
      </w:r>
      <w:r>
        <w:rPr>
          <w:rFonts w:ascii="Arial" w:hAnsi="Arial"/>
        </w:rPr>
        <w:tab/>
      </w:r>
      <w:r>
        <w:rPr>
          <w:rFonts w:ascii="Arial" w:hAnsi="Arial"/>
        </w:rPr>
        <w:tab/>
        <w:t>4XXX</w:t>
      </w:r>
      <w:r>
        <w:rPr>
          <w:rFonts w:ascii="Arial" w:hAnsi="Arial"/>
        </w:rPr>
        <w:tab/>
        <w:t>Community Colleges (58 colleges – see Agencies list)</w:t>
      </w:r>
    </w:p>
    <w:p w14:paraId="0418F2BB" w14:textId="77777777" w:rsidR="006C7B21" w:rsidRDefault="006C7B21">
      <w:pPr>
        <w:spacing w:line="240" w:lineRule="exact"/>
        <w:rPr>
          <w:sz w:val="24"/>
        </w:rPr>
      </w:pPr>
    </w:p>
    <w:p w14:paraId="4C249D0A" w14:textId="77777777" w:rsidR="00432F9A" w:rsidRPr="00CE1CE1" w:rsidRDefault="00CE1CE1" w:rsidP="00B2338B">
      <w:pPr>
        <w:rPr>
          <w:sz w:val="18"/>
        </w:rPr>
      </w:pPr>
      <w:r>
        <w:rPr>
          <w:b/>
          <w:sz w:val="24"/>
          <w:u w:val="single"/>
        </w:rPr>
        <w:t>EMPLOYER CONTRIBUTION AMOUNTS FOR OPEB &amp; TSERS (6</w:t>
      </w:r>
      <w:r w:rsidR="00754311">
        <w:rPr>
          <w:b/>
          <w:sz w:val="24"/>
          <w:u w:val="single"/>
        </w:rPr>
        <w:t>02</w:t>
      </w:r>
      <w:r>
        <w:rPr>
          <w:b/>
          <w:sz w:val="24"/>
          <w:u w:val="single"/>
        </w:rPr>
        <w:t>)</w:t>
      </w:r>
      <w:r w:rsidRPr="00B2338B">
        <w:rPr>
          <w:b/>
          <w:sz w:val="24"/>
        </w:rPr>
        <w:t xml:space="preserve"> </w:t>
      </w:r>
    </w:p>
    <w:p w14:paraId="33A96FCF" w14:textId="77777777" w:rsidR="00CE1CE1" w:rsidRDefault="00CE1CE1">
      <w:pPr>
        <w:spacing w:line="240" w:lineRule="exact"/>
        <w:rPr>
          <w:b/>
          <w:sz w:val="24"/>
          <w:u w:val="single"/>
        </w:rPr>
      </w:pPr>
    </w:p>
    <w:p w14:paraId="0633369D" w14:textId="77777777" w:rsidR="00CE1CE1" w:rsidRDefault="00B2338B">
      <w:pPr>
        <w:spacing w:line="240" w:lineRule="exact"/>
        <w:rPr>
          <w:b/>
          <w:sz w:val="24"/>
          <w:u w:val="single"/>
        </w:rPr>
      </w:pPr>
      <w:r>
        <w:rPr>
          <w:sz w:val="24"/>
          <w:szCs w:val="24"/>
        </w:rPr>
        <w:t>Enter the current year employer contributions for TS</w:t>
      </w:r>
      <w:r w:rsidR="00871C73">
        <w:rPr>
          <w:sz w:val="24"/>
          <w:szCs w:val="24"/>
        </w:rPr>
        <w:t>E</w:t>
      </w:r>
      <w:r>
        <w:rPr>
          <w:sz w:val="24"/>
          <w:szCs w:val="24"/>
        </w:rPr>
        <w:t>RS, RHBF, and DIPNC on Worksheet 6</w:t>
      </w:r>
      <w:r w:rsidR="00487F2C">
        <w:rPr>
          <w:sz w:val="24"/>
          <w:szCs w:val="24"/>
        </w:rPr>
        <w:t>02</w:t>
      </w:r>
      <w:r>
        <w:rPr>
          <w:sz w:val="24"/>
          <w:szCs w:val="24"/>
        </w:rPr>
        <w:t>.  Amounts for TSERS were previously reported on Worksheet 220.</w:t>
      </w:r>
    </w:p>
    <w:p w14:paraId="75C2D36A" w14:textId="77777777" w:rsidR="00CE1CE1" w:rsidRDefault="00CE1CE1">
      <w:pPr>
        <w:spacing w:line="240" w:lineRule="exact"/>
        <w:rPr>
          <w:b/>
          <w:sz w:val="24"/>
          <w:u w:val="single"/>
        </w:rPr>
      </w:pPr>
    </w:p>
    <w:p w14:paraId="4E35740E" w14:textId="21063751" w:rsidR="006C7B21" w:rsidRDefault="00DA01C4">
      <w:pPr>
        <w:spacing w:line="240" w:lineRule="exact"/>
        <w:rPr>
          <w:b/>
          <w:sz w:val="24"/>
          <w:u w:val="single"/>
        </w:rPr>
      </w:pPr>
      <w:r>
        <w:rPr>
          <w:b/>
          <w:sz w:val="24"/>
          <w:u w:val="single"/>
        </w:rPr>
        <w:t>SCHEDULE</w:t>
      </w:r>
      <w:r w:rsidR="006C7B21">
        <w:rPr>
          <w:b/>
          <w:sz w:val="24"/>
          <w:u w:val="single"/>
        </w:rPr>
        <w:t xml:space="preserve"> OF DUE FROM COLLEGE COMPONENT UNITS (</w:t>
      </w:r>
      <w:r w:rsidR="003C2DE4">
        <w:rPr>
          <w:b/>
          <w:sz w:val="24"/>
          <w:u w:val="single"/>
        </w:rPr>
        <w:t>61</w:t>
      </w:r>
      <w:r w:rsidR="0048788C">
        <w:rPr>
          <w:b/>
          <w:sz w:val="24"/>
          <w:u w:val="single"/>
        </w:rPr>
        <w:t>6</w:t>
      </w:r>
      <w:r w:rsidR="006C7B21">
        <w:rPr>
          <w:b/>
          <w:sz w:val="24"/>
          <w:u w:val="single"/>
        </w:rPr>
        <w:t xml:space="preserve">) </w:t>
      </w:r>
    </w:p>
    <w:p w14:paraId="73B22250" w14:textId="77777777" w:rsidR="006C7B21" w:rsidRDefault="006C7B21">
      <w:pPr>
        <w:spacing w:line="240" w:lineRule="exact"/>
        <w:jc w:val="center"/>
        <w:rPr>
          <w:b/>
          <w:sz w:val="24"/>
          <w:u w:val="single"/>
        </w:rPr>
      </w:pPr>
    </w:p>
    <w:p w14:paraId="13DB401D" w14:textId="77777777" w:rsidR="006C7B21" w:rsidRDefault="006C7B21">
      <w:pPr>
        <w:pStyle w:val="BodyText"/>
        <w:spacing w:line="240" w:lineRule="exact"/>
      </w:pPr>
      <w:r>
        <w:t>This worksheet must be completed only if the college has a discretely presented component unit foundation that will be reported on the Foundation Conversion Template, and if the college has a receivable from the foundation.  Report any amount that is due from the foundation at June 30 (no threshold) and the amount reported on the schedule must agree to</w:t>
      </w:r>
      <w:r w:rsidR="006E733B">
        <w:t xml:space="preserve"> the amount on Exhibit A, in the </w:t>
      </w:r>
      <w:r>
        <w:t xml:space="preserve">caption “Due from college component units.” </w:t>
      </w:r>
    </w:p>
    <w:p w14:paraId="5D37657C" w14:textId="77777777" w:rsidR="0046530B" w:rsidRDefault="0046530B" w:rsidP="0046530B">
      <w:pPr>
        <w:pBdr>
          <w:bottom w:val="single" w:sz="24" w:space="1" w:color="auto"/>
        </w:pBdr>
        <w:jc w:val="center"/>
        <w:rPr>
          <w:b/>
          <w:sz w:val="24"/>
        </w:rPr>
      </w:pPr>
    </w:p>
    <w:p w14:paraId="313D34CB" w14:textId="77777777" w:rsidR="0046530B" w:rsidRDefault="0046530B" w:rsidP="0046530B">
      <w:pPr>
        <w:pBdr>
          <w:bottom w:val="single" w:sz="24" w:space="1" w:color="auto"/>
        </w:pBdr>
        <w:rPr>
          <w:b/>
          <w:sz w:val="24"/>
        </w:rPr>
      </w:pPr>
      <w:r>
        <w:rPr>
          <w:b/>
          <w:sz w:val="24"/>
        </w:rPr>
        <w:lastRenderedPageBreak/>
        <w:t xml:space="preserve">Instructions for Analytical Review worksheet 625 </w:t>
      </w:r>
    </w:p>
    <w:p w14:paraId="141F150F" w14:textId="77777777" w:rsidR="0046530B" w:rsidRDefault="0046530B" w:rsidP="0046530B">
      <w:pPr>
        <w:jc w:val="center"/>
        <w:rPr>
          <w:sz w:val="22"/>
        </w:rPr>
      </w:pPr>
    </w:p>
    <w:p w14:paraId="0777949A" w14:textId="77777777" w:rsidR="0046530B" w:rsidRDefault="0046530B" w:rsidP="0046530B">
      <w:pPr>
        <w:jc w:val="both"/>
        <w:rPr>
          <w:sz w:val="22"/>
        </w:rPr>
      </w:pPr>
      <w:r>
        <w:rPr>
          <w:b/>
          <w:sz w:val="22"/>
        </w:rPr>
        <w:t>SIGNIFICANT INCREASES/DECREASES</w:t>
      </w:r>
      <w:r>
        <w:rPr>
          <w:sz w:val="22"/>
        </w:rPr>
        <w:t xml:space="preserve"> — For the purpose of this worksheet a significant change in a report caption will be defined to be changes (increases/decreases) as follows: </w:t>
      </w:r>
    </w:p>
    <w:p w14:paraId="118C9B9C" w14:textId="77777777" w:rsidR="0046530B" w:rsidRDefault="0046530B" w:rsidP="0046530B">
      <w:pPr>
        <w:jc w:val="both"/>
        <w:rPr>
          <w:sz w:val="22"/>
        </w:rPr>
      </w:pPr>
    </w:p>
    <w:p w14:paraId="5A3A63F8" w14:textId="77777777" w:rsidR="0046530B" w:rsidRDefault="0046530B" w:rsidP="0046530B">
      <w:pPr>
        <w:tabs>
          <w:tab w:val="left" w:pos="2520"/>
        </w:tabs>
        <w:ind w:left="2520" w:hanging="2520"/>
        <w:jc w:val="both"/>
        <w:rPr>
          <w:sz w:val="22"/>
        </w:rPr>
      </w:pPr>
      <w:r>
        <w:rPr>
          <w:b/>
          <w:sz w:val="22"/>
        </w:rPr>
        <w:t>Primary Government</w:t>
      </w:r>
      <w:r>
        <w:rPr>
          <w:sz w:val="22"/>
        </w:rPr>
        <w:tab/>
        <w:t xml:space="preserve">Greater than or equal to </w:t>
      </w:r>
      <w:r>
        <w:rPr>
          <w:b/>
          <w:sz w:val="22"/>
        </w:rPr>
        <w:t>15%</w:t>
      </w:r>
      <w:r>
        <w:rPr>
          <w:sz w:val="22"/>
        </w:rPr>
        <w:t xml:space="preserve">, </w:t>
      </w:r>
      <w:r>
        <w:rPr>
          <w:b/>
          <w:sz w:val="22"/>
        </w:rPr>
        <w:t>AND</w:t>
      </w:r>
      <w:r>
        <w:rPr>
          <w:sz w:val="22"/>
        </w:rPr>
        <w:t xml:space="preserve"> in a threshold </w:t>
      </w:r>
      <w:r>
        <w:rPr>
          <w:sz w:val="22"/>
          <w:u w:val="single"/>
        </w:rPr>
        <w:t>amount</w:t>
      </w:r>
      <w:r>
        <w:rPr>
          <w:sz w:val="22"/>
        </w:rPr>
        <w:t xml:space="preserve"> greater than or equal to </w:t>
      </w:r>
      <w:r>
        <w:rPr>
          <w:b/>
          <w:sz w:val="22"/>
        </w:rPr>
        <w:t>$15,000,000</w:t>
      </w:r>
    </w:p>
    <w:p w14:paraId="0D1A190F" w14:textId="77777777" w:rsidR="0046530B" w:rsidRDefault="0046530B" w:rsidP="0046530B">
      <w:pPr>
        <w:tabs>
          <w:tab w:val="left" w:pos="2520"/>
        </w:tabs>
        <w:ind w:left="2520" w:hanging="2520"/>
        <w:jc w:val="both"/>
        <w:rPr>
          <w:sz w:val="22"/>
        </w:rPr>
      </w:pPr>
    </w:p>
    <w:p w14:paraId="3D400082" w14:textId="77777777" w:rsidR="0046530B" w:rsidRDefault="0046530B" w:rsidP="0046530B">
      <w:pPr>
        <w:tabs>
          <w:tab w:val="left" w:pos="2520"/>
        </w:tabs>
        <w:jc w:val="both"/>
        <w:rPr>
          <w:sz w:val="22"/>
        </w:rPr>
      </w:pPr>
      <w:r>
        <w:rPr>
          <w:b/>
          <w:sz w:val="22"/>
        </w:rPr>
        <w:t xml:space="preserve">Universities and </w:t>
      </w:r>
      <w:r w:rsidRPr="00F142CE">
        <w:rPr>
          <w:b/>
          <w:sz w:val="22"/>
          <w:u w:val="single"/>
        </w:rPr>
        <w:t>Major</w:t>
      </w:r>
      <w:r>
        <w:rPr>
          <w:b/>
          <w:sz w:val="22"/>
        </w:rPr>
        <w:t xml:space="preserve"> </w:t>
      </w:r>
      <w:r>
        <w:rPr>
          <w:b/>
          <w:sz w:val="22"/>
        </w:rPr>
        <w:tab/>
      </w:r>
      <w:r>
        <w:rPr>
          <w:sz w:val="22"/>
        </w:rPr>
        <w:t xml:space="preserve">Greater than or equal to </w:t>
      </w:r>
      <w:r>
        <w:rPr>
          <w:b/>
          <w:sz w:val="22"/>
        </w:rPr>
        <w:t>15%</w:t>
      </w:r>
      <w:r>
        <w:rPr>
          <w:sz w:val="22"/>
        </w:rPr>
        <w:t xml:space="preserve">, </w:t>
      </w:r>
      <w:r>
        <w:rPr>
          <w:b/>
          <w:sz w:val="22"/>
        </w:rPr>
        <w:t>AND</w:t>
      </w:r>
      <w:r>
        <w:rPr>
          <w:sz w:val="22"/>
        </w:rPr>
        <w:t xml:space="preserve"> in a threshold </w:t>
      </w:r>
      <w:r>
        <w:rPr>
          <w:sz w:val="22"/>
          <w:u w:val="single"/>
        </w:rPr>
        <w:t>amount</w:t>
      </w:r>
      <w:r>
        <w:rPr>
          <w:sz w:val="22"/>
        </w:rPr>
        <w:t xml:space="preserve"> greater than or </w:t>
      </w:r>
      <w:r w:rsidRPr="0049761B">
        <w:rPr>
          <w:b/>
          <w:sz w:val="22"/>
        </w:rPr>
        <w:t>Component Units</w:t>
      </w:r>
      <w:r>
        <w:rPr>
          <w:sz w:val="22"/>
        </w:rPr>
        <w:tab/>
        <w:t xml:space="preserve">equal to </w:t>
      </w:r>
      <w:r>
        <w:rPr>
          <w:b/>
          <w:sz w:val="22"/>
        </w:rPr>
        <w:t>$10,000,000</w:t>
      </w:r>
    </w:p>
    <w:p w14:paraId="5B604D92" w14:textId="77777777" w:rsidR="0046530B" w:rsidRDefault="0046530B" w:rsidP="0046530B">
      <w:pPr>
        <w:tabs>
          <w:tab w:val="left" w:pos="2520"/>
        </w:tabs>
        <w:ind w:left="2520" w:hanging="2520"/>
        <w:jc w:val="both"/>
        <w:rPr>
          <w:sz w:val="22"/>
        </w:rPr>
      </w:pPr>
    </w:p>
    <w:p w14:paraId="188CCBC8" w14:textId="77777777" w:rsidR="0046530B" w:rsidRPr="0067539F" w:rsidRDefault="0046530B" w:rsidP="0046530B">
      <w:pPr>
        <w:tabs>
          <w:tab w:val="left" w:pos="2520"/>
        </w:tabs>
        <w:jc w:val="both"/>
        <w:rPr>
          <w:sz w:val="22"/>
          <w:szCs w:val="22"/>
        </w:rPr>
      </w:pPr>
      <w:r>
        <w:rPr>
          <w:b/>
          <w:sz w:val="22"/>
        </w:rPr>
        <w:t xml:space="preserve">Colleges and </w:t>
      </w:r>
      <w:r w:rsidRPr="00F142CE">
        <w:rPr>
          <w:b/>
          <w:sz w:val="22"/>
          <w:u w:val="single"/>
        </w:rPr>
        <w:t>Nonmajor</w:t>
      </w:r>
      <w:r>
        <w:rPr>
          <w:b/>
          <w:sz w:val="22"/>
        </w:rPr>
        <w:t xml:space="preserve"> </w:t>
      </w:r>
      <w:r>
        <w:rPr>
          <w:b/>
          <w:sz w:val="22"/>
        </w:rPr>
        <w:tab/>
      </w:r>
      <w:r>
        <w:rPr>
          <w:sz w:val="22"/>
        </w:rPr>
        <w:t xml:space="preserve">Greater than or equal to </w:t>
      </w:r>
      <w:r>
        <w:rPr>
          <w:b/>
          <w:sz w:val="22"/>
        </w:rPr>
        <w:t>15%</w:t>
      </w:r>
      <w:r>
        <w:rPr>
          <w:sz w:val="22"/>
        </w:rPr>
        <w:t xml:space="preserve">, </w:t>
      </w:r>
      <w:r>
        <w:rPr>
          <w:b/>
          <w:sz w:val="22"/>
        </w:rPr>
        <w:t>AND</w:t>
      </w:r>
      <w:r>
        <w:rPr>
          <w:sz w:val="22"/>
        </w:rPr>
        <w:t xml:space="preserve"> in a threshold </w:t>
      </w:r>
      <w:r>
        <w:rPr>
          <w:sz w:val="22"/>
          <w:u w:val="single"/>
        </w:rPr>
        <w:t>amount</w:t>
      </w:r>
      <w:r>
        <w:rPr>
          <w:sz w:val="22"/>
        </w:rPr>
        <w:t xml:space="preserve"> greater than or </w:t>
      </w:r>
      <w:r w:rsidRPr="0049761B">
        <w:rPr>
          <w:b/>
          <w:sz w:val="22"/>
        </w:rPr>
        <w:t>Component Units</w:t>
      </w:r>
      <w:r>
        <w:rPr>
          <w:sz w:val="22"/>
        </w:rPr>
        <w:tab/>
        <w:t xml:space="preserve">equal to </w:t>
      </w:r>
      <w:r>
        <w:rPr>
          <w:b/>
          <w:sz w:val="22"/>
        </w:rPr>
        <w:t xml:space="preserve">$2,000,000 </w:t>
      </w:r>
      <w:r>
        <w:rPr>
          <w:sz w:val="22"/>
          <w:szCs w:val="22"/>
        </w:rPr>
        <w:t>(For colleges, this is built in to the CollProforma spreadsheet)</w:t>
      </w:r>
    </w:p>
    <w:p w14:paraId="6C728727" w14:textId="77777777" w:rsidR="0046530B" w:rsidRDefault="0046530B" w:rsidP="0046530B">
      <w:pPr>
        <w:tabs>
          <w:tab w:val="left" w:pos="2520"/>
        </w:tabs>
        <w:ind w:left="2520" w:hanging="2520"/>
        <w:jc w:val="both"/>
        <w:rPr>
          <w:b/>
          <w:sz w:val="22"/>
        </w:rPr>
      </w:pPr>
    </w:p>
    <w:p w14:paraId="00B7D8A9" w14:textId="77777777" w:rsidR="0046530B" w:rsidRDefault="0046530B" w:rsidP="0046530B">
      <w:pPr>
        <w:tabs>
          <w:tab w:val="left" w:pos="2520"/>
        </w:tabs>
        <w:ind w:left="2520" w:hanging="2520"/>
        <w:jc w:val="both"/>
        <w:rPr>
          <w:sz w:val="22"/>
        </w:rPr>
      </w:pPr>
    </w:p>
    <w:p w14:paraId="27FF77AE" w14:textId="77777777" w:rsidR="0046530B" w:rsidRDefault="0046530B" w:rsidP="0046530B">
      <w:pPr>
        <w:jc w:val="both"/>
        <w:rPr>
          <w:sz w:val="22"/>
        </w:rPr>
      </w:pPr>
      <w:r>
        <w:rPr>
          <w:b/>
          <w:sz w:val="22"/>
        </w:rPr>
        <w:t>Primary (general) government agencies</w:t>
      </w:r>
      <w:r>
        <w:rPr>
          <w:sz w:val="22"/>
        </w:rPr>
        <w:t xml:space="preserve"> should analyze SIGNIFICANT CHANGES from the prior year at the financial statement report caption level, for each </w:t>
      </w:r>
      <w:r>
        <w:rPr>
          <w:b/>
          <w:sz w:val="22"/>
          <w:u w:val="single"/>
        </w:rPr>
        <w:t>GASB fund type (General Fund, Special Revenue Funds, Capital Project Funds, Enterprise Funds, General Long-term Debt, General Fixed Assets)</w:t>
      </w:r>
      <w:r>
        <w:rPr>
          <w:sz w:val="22"/>
        </w:rPr>
        <w:t>.</w:t>
      </w:r>
    </w:p>
    <w:p w14:paraId="0E9F0F1A" w14:textId="77777777" w:rsidR="0046530B" w:rsidRDefault="0046530B" w:rsidP="0046530B">
      <w:pPr>
        <w:jc w:val="both"/>
        <w:rPr>
          <w:sz w:val="22"/>
        </w:rPr>
      </w:pPr>
    </w:p>
    <w:p w14:paraId="071322F7" w14:textId="77777777" w:rsidR="0046530B" w:rsidRDefault="0046530B" w:rsidP="0046530B">
      <w:pPr>
        <w:jc w:val="both"/>
        <w:rPr>
          <w:sz w:val="22"/>
        </w:rPr>
      </w:pPr>
      <w:r>
        <w:rPr>
          <w:b/>
          <w:sz w:val="22"/>
        </w:rPr>
        <w:t>University and community college</w:t>
      </w:r>
      <w:r>
        <w:rPr>
          <w:sz w:val="22"/>
        </w:rPr>
        <w:t xml:space="preserve"> analysis of report captions should be done </w:t>
      </w:r>
      <w:r>
        <w:rPr>
          <w:b/>
          <w:i/>
          <w:sz w:val="22"/>
          <w:u w:val="single"/>
        </w:rPr>
        <w:t>only once</w:t>
      </w:r>
      <w:r>
        <w:rPr>
          <w:sz w:val="22"/>
        </w:rPr>
        <w:t xml:space="preserve"> at the “</w:t>
      </w:r>
      <w:r>
        <w:rPr>
          <w:b/>
          <w:i/>
          <w:sz w:val="22"/>
        </w:rPr>
        <w:t>total funds</w:t>
      </w:r>
      <w:r>
        <w:rPr>
          <w:sz w:val="22"/>
        </w:rPr>
        <w:t xml:space="preserve">” level. Universities and community colleges report in one column as a business-type activity. </w:t>
      </w:r>
    </w:p>
    <w:p w14:paraId="043116A4" w14:textId="77777777" w:rsidR="0046530B" w:rsidRDefault="0046530B" w:rsidP="0046530B">
      <w:pPr>
        <w:jc w:val="both"/>
        <w:rPr>
          <w:sz w:val="22"/>
        </w:rPr>
      </w:pPr>
    </w:p>
    <w:p w14:paraId="6A3E568C" w14:textId="77777777" w:rsidR="0046530B" w:rsidRDefault="0046530B" w:rsidP="0046530B">
      <w:pPr>
        <w:jc w:val="both"/>
        <w:rPr>
          <w:sz w:val="22"/>
        </w:rPr>
      </w:pPr>
      <w:r>
        <w:rPr>
          <w:sz w:val="22"/>
        </w:rPr>
        <w:t xml:space="preserve">All significant changes to assets, liabilities, revenues and other financing sources, and expenditures/expenses and other uses, should be analyzed.  Indicate the </w:t>
      </w:r>
      <w:r>
        <w:rPr>
          <w:b/>
          <w:i/>
          <w:sz w:val="22"/>
          <w:u w:val="single"/>
        </w:rPr>
        <w:t>REASON</w:t>
      </w:r>
      <w:r>
        <w:rPr>
          <w:sz w:val="22"/>
        </w:rPr>
        <w:t xml:space="preserve"> for the change in the description field.  Attach additional information as necessary.</w:t>
      </w:r>
    </w:p>
    <w:p w14:paraId="748B2D8F" w14:textId="77777777" w:rsidR="0046530B" w:rsidRDefault="0046530B" w:rsidP="0046530B">
      <w:pPr>
        <w:jc w:val="both"/>
        <w:rPr>
          <w:sz w:val="22"/>
        </w:rPr>
      </w:pPr>
    </w:p>
    <w:p w14:paraId="1A5FB04D" w14:textId="77777777" w:rsidR="0046530B" w:rsidRDefault="0046530B" w:rsidP="0046530B">
      <w:pPr>
        <w:tabs>
          <w:tab w:val="left" w:pos="2160"/>
        </w:tabs>
        <w:jc w:val="both"/>
        <w:rPr>
          <w:sz w:val="22"/>
        </w:rPr>
      </w:pPr>
      <w:r>
        <w:rPr>
          <w:b/>
          <w:sz w:val="22"/>
        </w:rPr>
        <w:t>Specific reasons</w:t>
      </w:r>
      <w:r>
        <w:rPr>
          <w:sz w:val="22"/>
        </w:rPr>
        <w:t xml:space="preserve"> for significant fluctuations should be described in terms of:</w:t>
      </w:r>
    </w:p>
    <w:p w14:paraId="63FB3C6F" w14:textId="77777777" w:rsidR="0046530B" w:rsidRDefault="0046530B" w:rsidP="0046530B">
      <w:pPr>
        <w:tabs>
          <w:tab w:val="left" w:pos="2160"/>
        </w:tabs>
        <w:jc w:val="both"/>
        <w:rPr>
          <w:b/>
          <w:sz w:val="22"/>
        </w:rPr>
      </w:pPr>
      <w:r>
        <w:rPr>
          <w:b/>
          <w:sz w:val="22"/>
        </w:rPr>
        <w:tab/>
        <w:t>economic changes;</w:t>
      </w:r>
    </w:p>
    <w:p w14:paraId="384A4C96" w14:textId="77777777" w:rsidR="0046530B" w:rsidRDefault="0046530B" w:rsidP="0046530B">
      <w:pPr>
        <w:tabs>
          <w:tab w:val="left" w:pos="2160"/>
        </w:tabs>
        <w:jc w:val="both"/>
        <w:rPr>
          <w:b/>
          <w:sz w:val="22"/>
        </w:rPr>
      </w:pPr>
      <w:r>
        <w:rPr>
          <w:b/>
          <w:sz w:val="22"/>
        </w:rPr>
        <w:tab/>
        <w:t>legal influences or changes;</w:t>
      </w:r>
    </w:p>
    <w:p w14:paraId="1568DD4D" w14:textId="77777777" w:rsidR="0046530B" w:rsidRDefault="0046530B" w:rsidP="0046530B">
      <w:pPr>
        <w:tabs>
          <w:tab w:val="left" w:pos="2160"/>
        </w:tabs>
        <w:jc w:val="both"/>
        <w:rPr>
          <w:b/>
          <w:sz w:val="22"/>
        </w:rPr>
      </w:pPr>
      <w:r>
        <w:rPr>
          <w:b/>
          <w:sz w:val="22"/>
        </w:rPr>
        <w:tab/>
        <w:t>policy changes;</w:t>
      </w:r>
    </w:p>
    <w:p w14:paraId="72FE9F66" w14:textId="77777777" w:rsidR="0046530B" w:rsidRDefault="0046530B" w:rsidP="0046530B">
      <w:pPr>
        <w:tabs>
          <w:tab w:val="left" w:pos="2160"/>
        </w:tabs>
        <w:jc w:val="both"/>
        <w:rPr>
          <w:b/>
          <w:sz w:val="22"/>
        </w:rPr>
      </w:pPr>
      <w:r>
        <w:rPr>
          <w:b/>
          <w:sz w:val="22"/>
        </w:rPr>
        <w:tab/>
        <w:t>legislative changes;</w:t>
      </w:r>
    </w:p>
    <w:p w14:paraId="2D35F063" w14:textId="77777777" w:rsidR="0046530B" w:rsidRDefault="0046530B" w:rsidP="0046530B">
      <w:pPr>
        <w:tabs>
          <w:tab w:val="left" w:pos="2160"/>
        </w:tabs>
        <w:jc w:val="both"/>
        <w:rPr>
          <w:b/>
          <w:sz w:val="22"/>
        </w:rPr>
      </w:pPr>
      <w:r>
        <w:rPr>
          <w:b/>
          <w:sz w:val="22"/>
        </w:rPr>
        <w:tab/>
        <w:t>demographic shifts or trends;</w:t>
      </w:r>
    </w:p>
    <w:p w14:paraId="0953C1D6" w14:textId="77777777" w:rsidR="0046530B" w:rsidRDefault="0046530B" w:rsidP="0046530B">
      <w:pPr>
        <w:tabs>
          <w:tab w:val="left" w:pos="2160"/>
        </w:tabs>
        <w:jc w:val="both"/>
        <w:rPr>
          <w:b/>
          <w:sz w:val="22"/>
        </w:rPr>
      </w:pPr>
      <w:r>
        <w:rPr>
          <w:b/>
          <w:sz w:val="22"/>
        </w:rPr>
        <w:tab/>
        <w:t>environmental impacts (including weather); and</w:t>
      </w:r>
    </w:p>
    <w:p w14:paraId="6D3FE73C" w14:textId="77777777" w:rsidR="0046530B" w:rsidRDefault="0046530B" w:rsidP="0046530B">
      <w:pPr>
        <w:tabs>
          <w:tab w:val="left" w:pos="2160"/>
        </w:tabs>
        <w:jc w:val="both"/>
        <w:rPr>
          <w:b/>
          <w:sz w:val="22"/>
        </w:rPr>
      </w:pPr>
      <w:r>
        <w:rPr>
          <w:b/>
          <w:sz w:val="22"/>
        </w:rPr>
        <w:tab/>
        <w:t>administrative, management, or accounting changes</w:t>
      </w:r>
    </w:p>
    <w:p w14:paraId="4796E75A" w14:textId="77777777" w:rsidR="0046530B" w:rsidRDefault="0046530B" w:rsidP="0046530B">
      <w:pPr>
        <w:jc w:val="both"/>
        <w:rPr>
          <w:b/>
          <w:sz w:val="22"/>
        </w:rPr>
      </w:pPr>
    </w:p>
    <w:p w14:paraId="03363999" w14:textId="77777777" w:rsidR="0046530B" w:rsidRDefault="0046530B" w:rsidP="0046530B">
      <w:pPr>
        <w:jc w:val="both"/>
        <w:rPr>
          <w:sz w:val="22"/>
        </w:rPr>
      </w:pPr>
      <w:r>
        <w:rPr>
          <w:sz w:val="22"/>
        </w:rPr>
        <w:t xml:space="preserve">Your </w:t>
      </w:r>
      <w:r>
        <w:rPr>
          <w:b/>
          <w:i/>
          <w:sz w:val="22"/>
          <w:u w:val="single"/>
        </w:rPr>
        <w:t>REASONS</w:t>
      </w:r>
      <w:r>
        <w:rPr>
          <w:sz w:val="22"/>
        </w:rPr>
        <w:t xml:space="preserve"> should present </w:t>
      </w:r>
      <w:r>
        <w:rPr>
          <w:b/>
          <w:i/>
          <w:sz w:val="22"/>
          <w:u w:val="single"/>
        </w:rPr>
        <w:t>ADDITIONAL INFORMATION</w:t>
      </w:r>
      <w:r>
        <w:rPr>
          <w:sz w:val="22"/>
        </w:rPr>
        <w:t xml:space="preserve"> that would otherwise not be available, or obvious, to the local, state, and national </w:t>
      </w:r>
      <w:r>
        <w:rPr>
          <w:b/>
          <w:i/>
          <w:sz w:val="22"/>
          <w:u w:val="single"/>
        </w:rPr>
        <w:t>USERS</w:t>
      </w:r>
      <w:r>
        <w:rPr>
          <w:sz w:val="22"/>
        </w:rPr>
        <w:t xml:space="preserve"> of your financial information.  </w:t>
      </w:r>
    </w:p>
    <w:p w14:paraId="524C4426" w14:textId="77777777" w:rsidR="0046530B" w:rsidRDefault="0046530B" w:rsidP="0046530B">
      <w:pPr>
        <w:jc w:val="both"/>
        <w:rPr>
          <w:sz w:val="22"/>
        </w:rPr>
      </w:pPr>
    </w:p>
    <w:p w14:paraId="52DF4E08" w14:textId="77777777" w:rsidR="0046530B" w:rsidRDefault="0046530B" w:rsidP="0046530B">
      <w:pPr>
        <w:jc w:val="both"/>
        <w:rPr>
          <w:sz w:val="22"/>
        </w:rPr>
      </w:pPr>
      <w:r>
        <w:rPr>
          <w:sz w:val="22"/>
        </w:rPr>
        <w:t xml:space="preserve">The analytical review worksheet should disclose </w:t>
      </w:r>
      <w:r>
        <w:rPr>
          <w:b/>
          <w:i/>
          <w:sz w:val="22"/>
        </w:rPr>
        <w:t>unusual and significant</w:t>
      </w:r>
      <w:r>
        <w:rPr>
          <w:sz w:val="22"/>
        </w:rPr>
        <w:t xml:space="preserve"> items.</w:t>
      </w:r>
    </w:p>
    <w:p w14:paraId="5BC16CC9" w14:textId="77777777" w:rsidR="0046530B" w:rsidRDefault="0046530B" w:rsidP="0046530B">
      <w:pPr>
        <w:jc w:val="both"/>
        <w:rPr>
          <w:sz w:val="22"/>
        </w:rPr>
      </w:pPr>
    </w:p>
    <w:p w14:paraId="267739BB" w14:textId="77777777" w:rsidR="0046530B" w:rsidRDefault="0046530B" w:rsidP="0046530B">
      <w:pPr>
        <w:jc w:val="both"/>
        <w:rPr>
          <w:sz w:val="22"/>
        </w:rPr>
      </w:pPr>
      <w:r>
        <w:rPr>
          <w:sz w:val="22"/>
        </w:rPr>
        <w:t>Management Discussion and Analysis (MD&amp;A) is a requirement in the governmental reporting model (required supplementary information – RSI).</w:t>
      </w:r>
    </w:p>
    <w:p w14:paraId="46EE8530" w14:textId="77777777" w:rsidR="0046530B" w:rsidRDefault="0046530B" w:rsidP="0046530B">
      <w:pPr>
        <w:jc w:val="both"/>
        <w:rPr>
          <w:sz w:val="22"/>
        </w:rPr>
      </w:pPr>
    </w:p>
    <w:p w14:paraId="7DBE2D45" w14:textId="02E32FF0" w:rsidR="008C6656" w:rsidRPr="00772BD6" w:rsidRDefault="0046530B" w:rsidP="00772BD6">
      <w:pPr>
        <w:pStyle w:val="BodyText2"/>
      </w:pPr>
      <w:r>
        <w:t>Each agency or institution that issues separate audited financial statements will need to include MD&amp;A narrative, with charts and tables, in their separately issued financial statements.</w:t>
      </w:r>
    </w:p>
    <w:p w14:paraId="5641A94A" w14:textId="4DA2E87F" w:rsidR="001E4EAD" w:rsidRPr="004913C2" w:rsidRDefault="001E4EAD" w:rsidP="001E4EAD">
      <w:pPr>
        <w:shd w:val="clear" w:color="auto" w:fill="FFFFFF"/>
        <w:spacing w:before="100" w:beforeAutospacing="1" w:after="100" w:afterAutospacing="1"/>
        <w:outlineLvl w:val="0"/>
        <w:rPr>
          <w:rFonts w:ascii="Arial" w:hAnsi="Arial" w:cs="Arial"/>
          <w:b/>
          <w:bCs/>
          <w:color w:val="2C5C9B"/>
          <w:kern w:val="36"/>
          <w:sz w:val="23"/>
          <w:szCs w:val="23"/>
        </w:rPr>
      </w:pPr>
      <w:r w:rsidRPr="004913C2">
        <w:rPr>
          <w:rFonts w:ascii="Arial" w:hAnsi="Arial" w:cs="Arial"/>
          <w:b/>
          <w:bCs/>
          <w:color w:val="2C5C9B"/>
          <w:kern w:val="36"/>
          <w:sz w:val="23"/>
          <w:szCs w:val="23"/>
        </w:rPr>
        <w:t xml:space="preserve">Net </w:t>
      </w:r>
      <w:r>
        <w:rPr>
          <w:rFonts w:ascii="Arial" w:hAnsi="Arial" w:cs="Arial"/>
          <w:b/>
          <w:bCs/>
          <w:color w:val="2C5C9B"/>
          <w:kern w:val="36"/>
          <w:sz w:val="23"/>
          <w:szCs w:val="23"/>
        </w:rPr>
        <w:t>Position</w:t>
      </w:r>
      <w:r w:rsidRPr="004913C2">
        <w:rPr>
          <w:rFonts w:ascii="Arial" w:hAnsi="Arial" w:cs="Arial"/>
          <w:b/>
          <w:bCs/>
          <w:color w:val="2C5C9B"/>
          <w:kern w:val="36"/>
          <w:sz w:val="23"/>
          <w:szCs w:val="23"/>
        </w:rPr>
        <w:t xml:space="preserve"> Policy </w:t>
      </w:r>
    </w:p>
    <w:p w14:paraId="30087199"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b/>
          <w:bCs/>
          <w:sz w:val="17"/>
          <w:szCs w:val="17"/>
        </w:rPr>
        <w:t>Authority:</w:t>
      </w:r>
    </w:p>
    <w:p w14:paraId="4EFABBC5" w14:textId="77777777" w:rsidR="001E4EAD" w:rsidRPr="004913C2" w:rsidRDefault="001E4EAD" w:rsidP="001E4EAD">
      <w:pPr>
        <w:numPr>
          <w:ilvl w:val="0"/>
          <w:numId w:val="15"/>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GASB Statement 34 and related implementation guides </w:t>
      </w:r>
    </w:p>
    <w:p w14:paraId="04024F75" w14:textId="77777777" w:rsidR="001E4EAD" w:rsidRDefault="001E4EAD" w:rsidP="001E4EAD">
      <w:pPr>
        <w:numPr>
          <w:ilvl w:val="0"/>
          <w:numId w:val="15"/>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GASB Statement 46, </w:t>
      </w:r>
      <w:r w:rsidRPr="004913C2">
        <w:rPr>
          <w:rFonts w:ascii="Arial" w:hAnsi="Arial" w:cs="Arial"/>
          <w:i/>
          <w:iCs/>
          <w:sz w:val="17"/>
          <w:szCs w:val="17"/>
        </w:rPr>
        <w:t xml:space="preserve">Net Assets Restricted by </w:t>
      </w:r>
      <w:r>
        <w:rPr>
          <w:rFonts w:ascii="Arial" w:hAnsi="Arial" w:cs="Arial"/>
          <w:i/>
          <w:iCs/>
          <w:sz w:val="17"/>
          <w:szCs w:val="17"/>
        </w:rPr>
        <w:t xml:space="preserve">Enabling </w:t>
      </w:r>
      <w:r w:rsidRPr="004913C2">
        <w:rPr>
          <w:rFonts w:ascii="Arial" w:hAnsi="Arial" w:cs="Arial"/>
          <w:i/>
          <w:iCs/>
          <w:sz w:val="17"/>
          <w:szCs w:val="17"/>
        </w:rPr>
        <w:t>Legislation</w:t>
      </w:r>
      <w:r w:rsidRPr="004913C2">
        <w:rPr>
          <w:rFonts w:ascii="Arial" w:hAnsi="Arial" w:cs="Arial"/>
          <w:sz w:val="17"/>
          <w:szCs w:val="17"/>
        </w:rPr>
        <w:t xml:space="preserve"> </w:t>
      </w:r>
    </w:p>
    <w:p w14:paraId="67AEFBA4" w14:textId="77777777" w:rsidR="001E4EAD" w:rsidRDefault="001E4EAD" w:rsidP="001E4EAD">
      <w:pPr>
        <w:numPr>
          <w:ilvl w:val="0"/>
          <w:numId w:val="15"/>
        </w:numPr>
        <w:shd w:val="clear" w:color="auto" w:fill="FFFFFF"/>
        <w:spacing w:before="100" w:beforeAutospacing="1" w:after="100" w:afterAutospacing="1"/>
        <w:rPr>
          <w:rFonts w:ascii="Arial" w:hAnsi="Arial" w:cs="Arial"/>
          <w:sz w:val="17"/>
          <w:szCs w:val="17"/>
        </w:rPr>
      </w:pPr>
      <w:r>
        <w:rPr>
          <w:rFonts w:ascii="Arial" w:hAnsi="Arial" w:cs="Arial"/>
          <w:sz w:val="17"/>
          <w:szCs w:val="17"/>
        </w:rPr>
        <w:t xml:space="preserve">GASB Statement 61, </w:t>
      </w:r>
      <w:r w:rsidRPr="00C2539B">
        <w:rPr>
          <w:rFonts w:ascii="Arial" w:hAnsi="Arial" w:cs="Arial"/>
          <w:i/>
          <w:sz w:val="17"/>
          <w:szCs w:val="17"/>
        </w:rPr>
        <w:t>The Financial Reporting Entity: Omnibus, an amendment of GASB Statements No. 14 and No. 34</w:t>
      </w:r>
    </w:p>
    <w:p w14:paraId="3EF8AF00" w14:textId="77777777" w:rsidR="001E4EAD" w:rsidRPr="006330AD" w:rsidRDefault="001E4EAD" w:rsidP="001E4EAD">
      <w:pPr>
        <w:numPr>
          <w:ilvl w:val="0"/>
          <w:numId w:val="15"/>
        </w:numPr>
        <w:shd w:val="clear" w:color="auto" w:fill="FFFFFF"/>
        <w:spacing w:before="100" w:beforeAutospacing="1" w:after="100" w:afterAutospacing="1"/>
        <w:rPr>
          <w:rFonts w:ascii="Arial" w:hAnsi="Arial" w:cs="Arial"/>
          <w:sz w:val="17"/>
          <w:szCs w:val="17"/>
        </w:rPr>
      </w:pPr>
      <w:r>
        <w:rPr>
          <w:rFonts w:ascii="Arial" w:hAnsi="Arial" w:cs="Arial"/>
          <w:sz w:val="17"/>
          <w:szCs w:val="17"/>
        </w:rPr>
        <w:lastRenderedPageBreak/>
        <w:t xml:space="preserve">GASB Statement 63, </w:t>
      </w:r>
      <w:r w:rsidRPr="004913C2">
        <w:rPr>
          <w:rFonts w:ascii="Arial" w:hAnsi="Arial" w:cs="Arial"/>
          <w:i/>
          <w:sz w:val="17"/>
          <w:szCs w:val="17"/>
        </w:rPr>
        <w:t>Financial Reporting of Deferred Outflows of Resources, Deferred Inflows of Resources, and Net Position</w:t>
      </w:r>
    </w:p>
    <w:p w14:paraId="718DF0C4" w14:textId="62AC6685" w:rsidR="001E4EAD" w:rsidRPr="00772BD6" w:rsidRDefault="001E4EAD" w:rsidP="001E4EAD">
      <w:pPr>
        <w:numPr>
          <w:ilvl w:val="0"/>
          <w:numId w:val="15"/>
        </w:numPr>
        <w:shd w:val="clear" w:color="auto" w:fill="FFFFFF"/>
        <w:spacing w:before="100" w:beforeAutospacing="1" w:after="100" w:afterAutospacing="1"/>
        <w:rPr>
          <w:rFonts w:ascii="Arial" w:hAnsi="Arial" w:cs="Arial"/>
          <w:sz w:val="17"/>
          <w:szCs w:val="17"/>
        </w:rPr>
      </w:pPr>
      <w:r>
        <w:rPr>
          <w:rFonts w:ascii="Arial" w:hAnsi="Arial" w:cs="Arial"/>
          <w:sz w:val="17"/>
          <w:szCs w:val="17"/>
        </w:rPr>
        <w:t>GASB</w:t>
      </w:r>
      <w:r w:rsidRPr="006330AD">
        <w:rPr>
          <w:rFonts w:ascii="Arial" w:hAnsi="Arial" w:cs="Arial"/>
          <w:sz w:val="17"/>
          <w:szCs w:val="17"/>
        </w:rPr>
        <w:t xml:space="preserve"> Comprehensive Implementation Guide</w:t>
      </w:r>
      <w:r w:rsidRPr="006330AD">
        <w:rPr>
          <w:rFonts w:ascii="Arial" w:hAnsi="Arial" w:cs="Arial"/>
          <w:i/>
          <w:sz w:val="17"/>
          <w:szCs w:val="17"/>
        </w:rPr>
        <w:t xml:space="preserve"> Net Investment in Capital Assets</w:t>
      </w:r>
      <w:r>
        <w:rPr>
          <w:rFonts w:ascii="Arial" w:hAnsi="Arial" w:cs="Arial"/>
          <w:i/>
          <w:sz w:val="17"/>
          <w:szCs w:val="17"/>
        </w:rPr>
        <w:t xml:space="preserve"> Section</w:t>
      </w:r>
    </w:p>
    <w:p w14:paraId="6D5A93F9"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b/>
          <w:bCs/>
          <w:sz w:val="17"/>
          <w:szCs w:val="17"/>
        </w:rPr>
        <w:t>Effective Date:</w:t>
      </w:r>
      <w:r w:rsidRPr="004913C2">
        <w:rPr>
          <w:rFonts w:ascii="Arial" w:hAnsi="Arial" w:cs="Arial"/>
          <w:sz w:val="17"/>
          <w:szCs w:val="17"/>
        </w:rPr>
        <w:br/>
        <w:t>7/1/2001; Revised 3/20/2007</w:t>
      </w:r>
      <w:r>
        <w:rPr>
          <w:rFonts w:ascii="Arial" w:hAnsi="Arial" w:cs="Arial"/>
          <w:sz w:val="17"/>
          <w:szCs w:val="17"/>
        </w:rPr>
        <w:t>; Revised 3/28/2013</w:t>
      </w:r>
      <w:r w:rsidRPr="004913C2">
        <w:rPr>
          <w:rFonts w:ascii="Arial" w:hAnsi="Arial" w:cs="Arial"/>
          <w:sz w:val="17"/>
          <w:szCs w:val="17"/>
        </w:rPr>
        <w:t xml:space="preserve"> </w:t>
      </w:r>
    </w:p>
    <w:p w14:paraId="46EBB290"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The following applies to the proprietary and government-wide financial statements of the State primary government and to component units. </w:t>
      </w:r>
    </w:p>
    <w:p w14:paraId="5B2E28EF"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B90886">
        <w:rPr>
          <w:rFonts w:ascii="Arial" w:hAnsi="Arial" w:cs="Arial"/>
          <w:b/>
          <w:bCs/>
          <w:sz w:val="17"/>
          <w:szCs w:val="17"/>
        </w:rPr>
        <w:t>Policy:</w:t>
      </w:r>
      <w:r w:rsidRPr="004913C2">
        <w:rPr>
          <w:rFonts w:ascii="Arial" w:hAnsi="Arial" w:cs="Arial"/>
          <w:sz w:val="17"/>
          <w:szCs w:val="17"/>
        </w:rPr>
        <w:br/>
      </w:r>
      <w:r w:rsidRPr="00B90886">
        <w:rPr>
          <w:rFonts w:ascii="Arial" w:hAnsi="Arial" w:cs="Arial"/>
          <w:i/>
          <w:iCs/>
          <w:sz w:val="17"/>
          <w:szCs w:val="17"/>
        </w:rPr>
        <w:t>Net Assets Restricted by Enabling Legislation (GASB 46)</w:t>
      </w:r>
      <w:r w:rsidRPr="004913C2">
        <w:rPr>
          <w:rFonts w:ascii="Arial" w:hAnsi="Arial" w:cs="Arial"/>
          <w:sz w:val="17"/>
          <w:szCs w:val="17"/>
        </w:rPr>
        <w:t xml:space="preserve">: For the State primary government, constraints placed on net </w:t>
      </w:r>
      <w:r w:rsidRPr="00B90886">
        <w:rPr>
          <w:rFonts w:ascii="Arial" w:hAnsi="Arial" w:cs="Arial"/>
          <w:sz w:val="17"/>
          <w:szCs w:val="17"/>
        </w:rPr>
        <w:t>position</w:t>
      </w:r>
      <w:r w:rsidRPr="004913C2">
        <w:rPr>
          <w:rFonts w:ascii="Arial" w:hAnsi="Arial" w:cs="Arial"/>
          <w:sz w:val="17"/>
          <w:szCs w:val="17"/>
        </w:rPr>
        <w:t xml:space="preserve"> use by enabling legislation are not reported as net </w:t>
      </w:r>
      <w:r w:rsidRPr="00B90886">
        <w:rPr>
          <w:rFonts w:ascii="Arial" w:hAnsi="Arial" w:cs="Arial"/>
          <w:sz w:val="17"/>
          <w:szCs w:val="17"/>
        </w:rPr>
        <w:t>position</w:t>
      </w:r>
      <w:r w:rsidRPr="004913C2">
        <w:rPr>
          <w:rFonts w:ascii="Arial" w:hAnsi="Arial" w:cs="Arial"/>
          <w:sz w:val="17"/>
          <w:szCs w:val="17"/>
        </w:rPr>
        <w:t xml:space="preserve"> restrictions since such constraints are not legally enforceable. An Attorney General Advisory Opinion referenced that the Governor, pursuant to his constitutional authority under Article III, Section 5(3), may use resources restricted by enabling legislation in his discretion to meet a budget shortfall. Legal enforceability means that the State can be compelled by an external party, such as citizens, public interest groups, or the judiciary to use resources created by enabling legislation only for the purposes specified by the legislation. </w:t>
      </w:r>
    </w:p>
    <w:p w14:paraId="14E544E0" w14:textId="220DC4BF" w:rsidR="001E4EAD" w:rsidRPr="004913C2" w:rsidRDefault="001E4EAD" w:rsidP="001E4EAD">
      <w:pPr>
        <w:shd w:val="clear" w:color="auto" w:fill="FFFFFF"/>
        <w:spacing w:before="100" w:beforeAutospacing="1" w:after="100" w:afterAutospacing="1"/>
        <w:rPr>
          <w:rFonts w:ascii="Arial" w:hAnsi="Arial" w:cs="Arial"/>
          <w:sz w:val="17"/>
          <w:szCs w:val="17"/>
        </w:rPr>
      </w:pPr>
      <w:r w:rsidRPr="00B90886">
        <w:rPr>
          <w:rFonts w:ascii="Arial" w:hAnsi="Arial" w:cs="Arial"/>
          <w:i/>
          <w:iCs/>
          <w:sz w:val="17"/>
          <w:szCs w:val="17"/>
        </w:rPr>
        <w:t>Flow of Funds Assumption</w:t>
      </w:r>
      <w:r w:rsidRPr="004913C2">
        <w:rPr>
          <w:rFonts w:ascii="Arial" w:hAnsi="Arial" w:cs="Arial"/>
          <w:sz w:val="17"/>
          <w:szCs w:val="17"/>
        </w:rPr>
        <w:t>: Under some programs, the State has the option of using either restricted or unrestricted resources to make certain payments. When both restricted and unrestricted resources are available for</w:t>
      </w:r>
      <w:r>
        <w:rPr>
          <w:rFonts w:ascii="Arial" w:hAnsi="Arial" w:cs="Arial"/>
          <w:sz w:val="17"/>
          <w:szCs w:val="17"/>
        </w:rPr>
        <w:t xml:space="preserve"> use, generally it is the State’</w:t>
      </w:r>
      <w:r w:rsidRPr="004913C2">
        <w:rPr>
          <w:rFonts w:ascii="Arial" w:hAnsi="Arial" w:cs="Arial"/>
          <w:sz w:val="17"/>
          <w:szCs w:val="17"/>
        </w:rPr>
        <w:t xml:space="preserve">s policy to use receipts first (which include restricted and unrestricted resources), then State appropriations as necessary. Receipts are defined as all funds collected by an agency or institution other than State appropriations. The decision to use restricted or unrestricted receipts to fund a payment is transactional-based within the departmental management system in place at the agency or institution. For projects funded by tax-exempt debt proceeds and other sources, the debt proceeds are always used first. </w:t>
      </w:r>
      <w:r w:rsidR="004A7429">
        <w:rPr>
          <w:rFonts w:ascii="Arial" w:hAnsi="Arial" w:cs="Arial"/>
          <w:sz w:val="17"/>
          <w:szCs w:val="17"/>
        </w:rPr>
        <w:t xml:space="preserve"> GASB Codification Section 2300.106a(12)</w:t>
      </w:r>
    </w:p>
    <w:p w14:paraId="3A8FF601"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b/>
          <w:bCs/>
          <w:sz w:val="17"/>
          <w:szCs w:val="17"/>
        </w:rPr>
        <w:t>Accounting Guidance:</w:t>
      </w:r>
      <w:r w:rsidRPr="004913C2">
        <w:rPr>
          <w:rFonts w:ascii="Arial" w:hAnsi="Arial" w:cs="Arial"/>
          <w:sz w:val="17"/>
          <w:szCs w:val="17"/>
        </w:rPr>
        <w:br/>
        <w:t xml:space="preserve">The equity reported in the statement of net </w:t>
      </w:r>
      <w:r>
        <w:rPr>
          <w:rFonts w:ascii="Arial" w:hAnsi="Arial" w:cs="Arial"/>
          <w:sz w:val="17"/>
          <w:szCs w:val="17"/>
        </w:rPr>
        <w:t>position</w:t>
      </w:r>
      <w:r w:rsidRPr="004913C2">
        <w:rPr>
          <w:rFonts w:ascii="Arial" w:hAnsi="Arial" w:cs="Arial"/>
          <w:sz w:val="17"/>
          <w:szCs w:val="17"/>
        </w:rPr>
        <w:t xml:space="preserve"> should be labeled net </w:t>
      </w:r>
      <w:r>
        <w:rPr>
          <w:rFonts w:ascii="Arial" w:hAnsi="Arial" w:cs="Arial"/>
          <w:sz w:val="17"/>
          <w:szCs w:val="17"/>
        </w:rPr>
        <w:t>position</w:t>
      </w:r>
      <w:r w:rsidRPr="004913C2">
        <w:rPr>
          <w:rFonts w:ascii="Arial" w:hAnsi="Arial" w:cs="Arial"/>
          <w:sz w:val="17"/>
          <w:szCs w:val="17"/>
        </w:rPr>
        <w:t xml:space="preserve"> and displayed in the following three components: (1) </w:t>
      </w:r>
      <w:r>
        <w:rPr>
          <w:rFonts w:ascii="Arial" w:hAnsi="Arial" w:cs="Arial"/>
          <w:sz w:val="17"/>
          <w:szCs w:val="17"/>
        </w:rPr>
        <w:t xml:space="preserve">net </w:t>
      </w:r>
      <w:r w:rsidRPr="004913C2">
        <w:rPr>
          <w:rFonts w:ascii="Arial" w:hAnsi="Arial" w:cs="Arial"/>
          <w:sz w:val="17"/>
          <w:szCs w:val="17"/>
        </w:rPr>
        <w:t>invest</w:t>
      </w:r>
      <w:r>
        <w:rPr>
          <w:rFonts w:ascii="Arial" w:hAnsi="Arial" w:cs="Arial"/>
          <w:sz w:val="17"/>
          <w:szCs w:val="17"/>
        </w:rPr>
        <w:t>ment</w:t>
      </w:r>
      <w:r w:rsidRPr="004913C2">
        <w:rPr>
          <w:rFonts w:ascii="Arial" w:hAnsi="Arial" w:cs="Arial"/>
          <w:sz w:val="17"/>
          <w:szCs w:val="17"/>
        </w:rPr>
        <w:t xml:space="preserve"> in capital assets; (2) restricted (distinguishing between major categories of restrictions); and (3) unrestricted.</w:t>
      </w:r>
    </w:p>
    <w:p w14:paraId="1398F7AB" w14:textId="77777777" w:rsidR="00772BD6" w:rsidRDefault="00772BD6" w:rsidP="001E4EAD">
      <w:pPr>
        <w:shd w:val="clear" w:color="auto" w:fill="FFFFFF"/>
        <w:spacing w:before="100" w:beforeAutospacing="1" w:after="100" w:afterAutospacing="1"/>
        <w:rPr>
          <w:rFonts w:ascii="Arial" w:hAnsi="Arial" w:cs="Arial"/>
          <w:sz w:val="17"/>
          <w:szCs w:val="17"/>
          <w:u w:val="single"/>
        </w:rPr>
      </w:pPr>
    </w:p>
    <w:p w14:paraId="3FDD59C8" w14:textId="1234EDF1" w:rsidR="001E4EAD" w:rsidRPr="004913C2" w:rsidRDefault="001E4EAD" w:rsidP="001E4EAD">
      <w:pPr>
        <w:shd w:val="clear" w:color="auto" w:fill="FFFFFF"/>
        <w:spacing w:before="100" w:beforeAutospacing="1" w:after="100" w:afterAutospacing="1"/>
        <w:rPr>
          <w:rFonts w:ascii="Arial" w:hAnsi="Arial" w:cs="Arial"/>
          <w:sz w:val="17"/>
          <w:szCs w:val="17"/>
        </w:rPr>
      </w:pPr>
      <w:r>
        <w:rPr>
          <w:rFonts w:ascii="Arial" w:hAnsi="Arial" w:cs="Arial"/>
          <w:sz w:val="17"/>
          <w:szCs w:val="17"/>
          <w:u w:val="single"/>
        </w:rPr>
        <w:t xml:space="preserve">Net </w:t>
      </w:r>
      <w:r w:rsidRPr="004913C2">
        <w:rPr>
          <w:rFonts w:ascii="Arial" w:hAnsi="Arial" w:cs="Arial"/>
          <w:sz w:val="17"/>
          <w:szCs w:val="17"/>
          <w:u w:val="single"/>
        </w:rPr>
        <w:t>Invest</w:t>
      </w:r>
      <w:r>
        <w:rPr>
          <w:rFonts w:ascii="Arial" w:hAnsi="Arial" w:cs="Arial"/>
          <w:sz w:val="17"/>
          <w:szCs w:val="17"/>
          <w:u w:val="single"/>
        </w:rPr>
        <w:t>ment</w:t>
      </w:r>
      <w:r w:rsidRPr="004913C2">
        <w:rPr>
          <w:rFonts w:ascii="Arial" w:hAnsi="Arial" w:cs="Arial"/>
          <w:sz w:val="17"/>
          <w:szCs w:val="17"/>
          <w:u w:val="single"/>
        </w:rPr>
        <w:t xml:space="preserve"> in Capital Assets</w:t>
      </w:r>
    </w:p>
    <w:p w14:paraId="29CA2A32" w14:textId="77777777" w:rsidR="001E4EAD" w:rsidRPr="00121B48"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This component of net </w:t>
      </w:r>
      <w:r>
        <w:rPr>
          <w:rFonts w:ascii="Arial" w:hAnsi="Arial" w:cs="Arial"/>
          <w:sz w:val="17"/>
          <w:szCs w:val="17"/>
        </w:rPr>
        <w:t>position</w:t>
      </w:r>
      <w:r w:rsidRPr="004913C2">
        <w:rPr>
          <w:rFonts w:ascii="Arial" w:hAnsi="Arial" w:cs="Arial"/>
          <w:sz w:val="17"/>
          <w:szCs w:val="17"/>
        </w:rPr>
        <w:t xml:space="preserve"> consists of capital assets, including restricted capital assets, net of accumulated depreciation and reduced by the outstanding balances of any bonds, mortgages, notes, or other borrowings that are attributable to the acquisition, construction, or improvement of those </w:t>
      </w:r>
      <w:r w:rsidRPr="00F37FE6">
        <w:rPr>
          <w:rFonts w:ascii="Arial" w:hAnsi="Arial" w:cs="Arial"/>
          <w:sz w:val="17"/>
          <w:szCs w:val="17"/>
        </w:rPr>
        <w:t xml:space="preserve">assets.  </w:t>
      </w:r>
      <w:r w:rsidRPr="00681134">
        <w:rPr>
          <w:rFonts w:ascii="Arial" w:hAnsi="Arial" w:cs="Arial"/>
          <w:sz w:val="17"/>
          <w:szCs w:val="17"/>
        </w:rPr>
        <w:t>Deferred outflows of resources</w:t>
      </w:r>
      <w:r>
        <w:rPr>
          <w:rFonts w:ascii="Arial" w:hAnsi="Arial" w:cs="Arial"/>
          <w:sz w:val="17"/>
          <w:szCs w:val="17"/>
        </w:rPr>
        <w:t xml:space="preserve"> (effective fiscal year </w:t>
      </w:r>
      <w:r w:rsidR="003F6902">
        <w:rPr>
          <w:rFonts w:ascii="Arial" w:hAnsi="Arial" w:cs="Arial"/>
          <w:sz w:val="17"/>
          <w:szCs w:val="17"/>
        </w:rPr>
        <w:t>2015</w:t>
      </w:r>
      <w:r>
        <w:rPr>
          <w:rFonts w:ascii="Arial" w:hAnsi="Arial" w:cs="Arial"/>
          <w:sz w:val="17"/>
          <w:szCs w:val="17"/>
        </w:rPr>
        <w:t>)</w:t>
      </w:r>
      <w:r w:rsidRPr="00681134">
        <w:rPr>
          <w:rFonts w:ascii="Arial" w:hAnsi="Arial" w:cs="Arial"/>
          <w:sz w:val="17"/>
          <w:szCs w:val="17"/>
        </w:rPr>
        <w:t xml:space="preserve"> and deferred inflows of resources that </w:t>
      </w:r>
      <w:r w:rsidRPr="00121B48">
        <w:rPr>
          <w:rFonts w:ascii="Arial" w:hAnsi="Arial" w:cs="Arial"/>
          <w:sz w:val="17"/>
          <w:szCs w:val="17"/>
        </w:rPr>
        <w:t>are attributable to the acquisition, construction, or improvement of those assets or related debt also should be included in this component of net position.</w:t>
      </w:r>
    </w:p>
    <w:p w14:paraId="4BC18027" w14:textId="77777777" w:rsidR="001E4EAD" w:rsidRPr="00121B48" w:rsidRDefault="001E4EAD" w:rsidP="001E4EAD">
      <w:pPr>
        <w:shd w:val="clear" w:color="auto" w:fill="FFFFFF"/>
        <w:spacing w:before="100" w:beforeAutospacing="1"/>
        <w:rPr>
          <w:rFonts w:ascii="Arial" w:hAnsi="Arial" w:cs="Arial"/>
          <w:sz w:val="17"/>
          <w:szCs w:val="17"/>
        </w:rPr>
      </w:pPr>
      <w:r w:rsidRPr="00121B48">
        <w:rPr>
          <w:rFonts w:ascii="Arial" w:hAnsi="Arial" w:cs="Arial"/>
          <w:sz w:val="17"/>
          <w:szCs w:val="17"/>
        </w:rPr>
        <w:t xml:space="preserve">It is essential that related assets, deferred outflows, liabilities, and deferred inflows be reported within the same category of net position. </w:t>
      </w:r>
      <w:r>
        <w:rPr>
          <w:rFonts w:ascii="Arial" w:hAnsi="Arial" w:cs="Arial"/>
          <w:sz w:val="17"/>
          <w:szCs w:val="17"/>
        </w:rPr>
        <w:t>[B</w:t>
      </w:r>
      <w:r w:rsidRPr="00121B48">
        <w:rPr>
          <w:rFonts w:ascii="Arial" w:hAnsi="Arial" w:cs="Arial"/>
          <w:sz w:val="17"/>
          <w:szCs w:val="17"/>
        </w:rPr>
        <w:t>e sure to group restricted assets and their related liabilities and/ or deferred inflows under the same category of Restricted Net Position.  Similarly, capital assets and their related liabilities and/ or deferred inflows should be under Net Investment in Capital Assets.</w:t>
      </w:r>
      <w:r>
        <w:rPr>
          <w:rFonts w:ascii="Arial" w:hAnsi="Arial" w:cs="Arial"/>
          <w:sz w:val="17"/>
          <w:szCs w:val="17"/>
        </w:rPr>
        <w:t>]</w:t>
      </w:r>
      <w:r w:rsidRPr="00121B48">
        <w:rPr>
          <w:rFonts w:ascii="Arial" w:hAnsi="Arial" w:cs="Arial"/>
          <w:sz w:val="17"/>
          <w:szCs w:val="17"/>
        </w:rPr>
        <w:t xml:space="preserve">  This prevents one classification from being overstated while another is understated by a similar amount. </w:t>
      </w:r>
    </w:p>
    <w:p w14:paraId="595E36A7" w14:textId="77777777" w:rsidR="001E4EAD" w:rsidRPr="00121B48" w:rsidRDefault="001E4EAD" w:rsidP="001E4EAD">
      <w:pPr>
        <w:shd w:val="clear" w:color="auto" w:fill="FFFFFF"/>
        <w:spacing w:before="120"/>
        <w:ind w:left="720"/>
        <w:rPr>
          <w:rFonts w:ascii="Arial" w:hAnsi="Arial" w:cs="Arial"/>
          <w:sz w:val="17"/>
          <w:szCs w:val="17"/>
        </w:rPr>
      </w:pPr>
      <w:r>
        <w:rPr>
          <w:rFonts w:ascii="Arial" w:hAnsi="Arial" w:cs="Arial"/>
          <w:sz w:val="17"/>
          <w:szCs w:val="17"/>
        </w:rPr>
        <w:t>Unspent Debt Proceeds: I</w:t>
      </w:r>
      <w:r w:rsidRPr="00121B48">
        <w:rPr>
          <w:rFonts w:ascii="Arial" w:hAnsi="Arial" w:cs="Arial"/>
          <w:sz w:val="17"/>
          <w:szCs w:val="17"/>
        </w:rPr>
        <w:t>f there are significant unspent debt proceeds at year-end</w:t>
      </w:r>
      <w:r>
        <w:rPr>
          <w:rFonts w:ascii="Arial" w:hAnsi="Arial" w:cs="Arial"/>
          <w:sz w:val="17"/>
          <w:szCs w:val="17"/>
        </w:rPr>
        <w:t>, t</w:t>
      </w:r>
      <w:r w:rsidRPr="00121B48">
        <w:rPr>
          <w:rFonts w:ascii="Arial" w:hAnsi="Arial" w:cs="Arial"/>
          <w:sz w:val="17"/>
          <w:szCs w:val="17"/>
        </w:rPr>
        <w:t>he portion of the debt attributable to the unspent proceeds should not be included in the calculation of "net investment in capital assets". Rather, that portion of the debt should be included in the same net position component as the unspent proceeds, in this case, restricted for capital projects.  Therefore, if no capital assets have been purchased or constructed from the debt proceeds, the entire amount of the debt would reduce net position "restricted for capital projects". If some capital assets have been purchased or constructed from the debt proceeds, that portion of the debt would be considered "capital-related." The remainder, the unspent portion of the debt, would be included in the calculation of net position "restricted for capital projects".  Generally, the effect</w:t>
      </w:r>
      <w:r>
        <w:rPr>
          <w:rFonts w:ascii="Arial" w:hAnsi="Arial" w:cs="Arial"/>
          <w:sz w:val="17"/>
          <w:szCs w:val="17"/>
        </w:rPr>
        <w:t xml:space="preserve"> of</w:t>
      </w:r>
      <w:r w:rsidRPr="00121B48">
        <w:rPr>
          <w:rFonts w:ascii="Arial" w:hAnsi="Arial" w:cs="Arial"/>
          <w:sz w:val="17"/>
          <w:szCs w:val="17"/>
        </w:rPr>
        <w:t xml:space="preserve"> unspent debt proceeds on net position will be negligible—restricted cash will approximate related debt outstanding.</w:t>
      </w:r>
    </w:p>
    <w:p w14:paraId="0E638062"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121B48">
        <w:rPr>
          <w:rFonts w:ascii="Arial" w:hAnsi="Arial" w:cs="Arial"/>
          <w:sz w:val="17"/>
          <w:szCs w:val="17"/>
        </w:rPr>
        <w:t>All uses of bond proceeds do not have to be categorized to dete</w:t>
      </w:r>
      <w:r w:rsidRPr="004913C2">
        <w:rPr>
          <w:rFonts w:ascii="Arial" w:hAnsi="Arial" w:cs="Arial"/>
          <w:sz w:val="17"/>
          <w:szCs w:val="17"/>
        </w:rPr>
        <w:t>rmine how much of the debt</w:t>
      </w:r>
      <w:r>
        <w:rPr>
          <w:rFonts w:ascii="Arial" w:hAnsi="Arial" w:cs="Arial"/>
          <w:sz w:val="17"/>
          <w:szCs w:val="17"/>
        </w:rPr>
        <w:t xml:space="preserve"> actually relates</w:t>
      </w:r>
      <w:r w:rsidRPr="004913C2">
        <w:rPr>
          <w:rFonts w:ascii="Arial" w:hAnsi="Arial" w:cs="Arial"/>
          <w:sz w:val="17"/>
          <w:szCs w:val="17"/>
        </w:rPr>
        <w:t xml:space="preserve"> to assets that have been capitalized. Unless a significant portion of the debt </w:t>
      </w:r>
      <w:r w:rsidRPr="003418B8">
        <w:rPr>
          <w:rFonts w:ascii="Arial" w:hAnsi="Arial" w:cs="Arial"/>
          <w:sz w:val="17"/>
          <w:szCs w:val="17"/>
        </w:rPr>
        <w:t>proceeds is spent</w:t>
      </w:r>
      <w:r w:rsidRPr="004913C2">
        <w:rPr>
          <w:rFonts w:ascii="Arial" w:hAnsi="Arial" w:cs="Arial"/>
          <w:sz w:val="17"/>
          <w:szCs w:val="17"/>
        </w:rPr>
        <w:t xml:space="preserve"> for noncapitalizable purposes, the entire amount should be considered "capital-related."</w:t>
      </w:r>
    </w:p>
    <w:p w14:paraId="1A40EFAB"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If debt is issued to refund existing capital-related debt, the new debt is also considered capital-related. Even though the direct connection between the capital assets and the debt issued to finance the construction or acquisition has been eliminated, the replacement debt assumes the capital characteristics of the original issue.</w:t>
      </w:r>
    </w:p>
    <w:p w14:paraId="48373236"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lastRenderedPageBreak/>
        <w:t xml:space="preserve">Unamortized debt issue costs and deferred amounts from refunding "follow the debt" in calculating net </w:t>
      </w:r>
      <w:r>
        <w:rPr>
          <w:rFonts w:ascii="Arial" w:hAnsi="Arial" w:cs="Arial"/>
          <w:sz w:val="17"/>
          <w:szCs w:val="17"/>
        </w:rPr>
        <w:t>position</w:t>
      </w:r>
      <w:r w:rsidRPr="004913C2">
        <w:rPr>
          <w:rFonts w:ascii="Arial" w:hAnsi="Arial" w:cs="Arial"/>
          <w:sz w:val="17"/>
          <w:szCs w:val="17"/>
        </w:rPr>
        <w:t xml:space="preserve"> components for the statement of net </w:t>
      </w:r>
      <w:r>
        <w:rPr>
          <w:rFonts w:ascii="Arial" w:hAnsi="Arial" w:cs="Arial"/>
          <w:sz w:val="17"/>
          <w:szCs w:val="17"/>
        </w:rPr>
        <w:t>position</w:t>
      </w:r>
      <w:r w:rsidRPr="004913C2">
        <w:rPr>
          <w:rFonts w:ascii="Arial" w:hAnsi="Arial" w:cs="Arial"/>
          <w:sz w:val="17"/>
          <w:szCs w:val="17"/>
        </w:rPr>
        <w:t>. That is, if the debt is capital-related, the deferred amounts would be included in the calculation of "</w:t>
      </w:r>
      <w:r>
        <w:rPr>
          <w:rFonts w:ascii="Arial" w:hAnsi="Arial" w:cs="Arial"/>
          <w:sz w:val="17"/>
          <w:szCs w:val="17"/>
        </w:rPr>
        <w:t xml:space="preserve">net </w:t>
      </w:r>
      <w:r w:rsidRPr="004913C2">
        <w:rPr>
          <w:rFonts w:ascii="Arial" w:hAnsi="Arial" w:cs="Arial"/>
          <w:sz w:val="17"/>
          <w:szCs w:val="17"/>
        </w:rPr>
        <w:t>invest</w:t>
      </w:r>
      <w:r>
        <w:rPr>
          <w:rFonts w:ascii="Arial" w:hAnsi="Arial" w:cs="Arial"/>
          <w:sz w:val="17"/>
          <w:szCs w:val="17"/>
        </w:rPr>
        <w:t>ment</w:t>
      </w:r>
      <w:r w:rsidRPr="004913C2">
        <w:rPr>
          <w:rFonts w:ascii="Arial" w:hAnsi="Arial" w:cs="Arial"/>
          <w:sz w:val="17"/>
          <w:szCs w:val="17"/>
        </w:rPr>
        <w:t xml:space="preserve"> in capital assets." If the debt is restricted for a specific purpose and the proceeds are unspent, the net proceeds would affect "restricted net </w:t>
      </w:r>
      <w:r>
        <w:rPr>
          <w:rFonts w:ascii="Arial" w:hAnsi="Arial" w:cs="Arial"/>
          <w:sz w:val="17"/>
          <w:szCs w:val="17"/>
        </w:rPr>
        <w:t>position</w:t>
      </w:r>
      <w:r w:rsidRPr="004913C2">
        <w:rPr>
          <w:rFonts w:ascii="Arial" w:hAnsi="Arial" w:cs="Arial"/>
          <w:sz w:val="17"/>
          <w:szCs w:val="17"/>
        </w:rPr>
        <w:t>."</w:t>
      </w:r>
    </w:p>
    <w:p w14:paraId="088E1936"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The state issues bonds to construct/renovate capital assets of other entities (e.g., local governments and colleges/universities). The bonds are a liability of the state, but the buildings will be reported as capital assets of the other respective entities. Because the state acquires no capital assets, the debt is not "capital-related" to the state. Therefore, the effect of the noncapital debt should be reflected in the unrestricted net </w:t>
      </w:r>
      <w:r>
        <w:rPr>
          <w:rFonts w:ascii="Arial" w:hAnsi="Arial" w:cs="Arial"/>
          <w:sz w:val="17"/>
          <w:szCs w:val="17"/>
        </w:rPr>
        <w:t>position</w:t>
      </w:r>
      <w:r w:rsidRPr="004913C2">
        <w:rPr>
          <w:rFonts w:ascii="Arial" w:hAnsi="Arial" w:cs="Arial"/>
          <w:sz w:val="17"/>
          <w:szCs w:val="17"/>
        </w:rPr>
        <w:t xml:space="preserve"> component. The fact that the bonds are related to capital assets of another entity does not make the debt "capital" debt of the issuing government even though the assets acquired may benefit its residents. The government has incurred a liability, decreasing its net </w:t>
      </w:r>
      <w:r>
        <w:rPr>
          <w:rFonts w:ascii="Arial" w:hAnsi="Arial" w:cs="Arial"/>
          <w:sz w:val="17"/>
          <w:szCs w:val="17"/>
        </w:rPr>
        <w:t>position</w:t>
      </w:r>
      <w:r w:rsidRPr="004913C2">
        <w:rPr>
          <w:rFonts w:ascii="Arial" w:hAnsi="Arial" w:cs="Arial"/>
          <w:sz w:val="17"/>
          <w:szCs w:val="17"/>
        </w:rPr>
        <w:t>, with no corresponding increase in its capital or financial assets.</w:t>
      </w:r>
    </w:p>
    <w:p w14:paraId="4E69ED0E"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u w:val="single"/>
        </w:rPr>
        <w:t xml:space="preserve">Restricted Net </w:t>
      </w:r>
      <w:r>
        <w:rPr>
          <w:rFonts w:ascii="Arial" w:hAnsi="Arial" w:cs="Arial"/>
          <w:sz w:val="17"/>
          <w:szCs w:val="17"/>
          <w:u w:val="single"/>
        </w:rPr>
        <w:t>Position</w:t>
      </w:r>
    </w:p>
    <w:p w14:paraId="50B81404"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Net </w:t>
      </w:r>
      <w:r>
        <w:rPr>
          <w:rFonts w:ascii="Arial" w:hAnsi="Arial" w:cs="Arial"/>
          <w:sz w:val="17"/>
          <w:szCs w:val="17"/>
        </w:rPr>
        <w:t>position</w:t>
      </w:r>
      <w:r w:rsidRPr="004913C2">
        <w:rPr>
          <w:rFonts w:ascii="Arial" w:hAnsi="Arial" w:cs="Arial"/>
          <w:sz w:val="17"/>
          <w:szCs w:val="17"/>
        </w:rPr>
        <w:t xml:space="preserve"> should be reported as restricted when constraints placed on net </w:t>
      </w:r>
      <w:r>
        <w:rPr>
          <w:rFonts w:ascii="Arial" w:hAnsi="Arial" w:cs="Arial"/>
          <w:sz w:val="17"/>
          <w:szCs w:val="17"/>
        </w:rPr>
        <w:t>position</w:t>
      </w:r>
      <w:r w:rsidRPr="004913C2">
        <w:rPr>
          <w:rFonts w:ascii="Arial" w:hAnsi="Arial" w:cs="Arial"/>
          <w:sz w:val="17"/>
          <w:szCs w:val="17"/>
        </w:rPr>
        <w:t xml:space="preserve"> use are either:</w:t>
      </w:r>
    </w:p>
    <w:p w14:paraId="40E4C6CD" w14:textId="77777777" w:rsidR="001E4EAD" w:rsidRPr="004913C2" w:rsidRDefault="001E4EAD" w:rsidP="001E4EAD">
      <w:pPr>
        <w:numPr>
          <w:ilvl w:val="0"/>
          <w:numId w:val="16"/>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Externally imposed by creditors (such as through debt covenants), grantors, contributors, or laws or r</w:t>
      </w:r>
      <w:r>
        <w:rPr>
          <w:rFonts w:ascii="Arial" w:hAnsi="Arial" w:cs="Arial"/>
          <w:sz w:val="17"/>
          <w:szCs w:val="17"/>
        </w:rPr>
        <w:t>egulations of other governments.</w:t>
      </w:r>
    </w:p>
    <w:p w14:paraId="23AB8F26" w14:textId="77777777" w:rsidR="001E4EAD" w:rsidRPr="004913C2" w:rsidRDefault="001E4EAD" w:rsidP="001E4EAD">
      <w:pPr>
        <w:numPr>
          <w:ilvl w:val="0"/>
          <w:numId w:val="16"/>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Imposed by law through constitutional provisions. </w:t>
      </w:r>
    </w:p>
    <w:p w14:paraId="079F7522"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The basic concept is that restrictions are not unilaterally established by the reporting government itself, and cannot be removed without the consent of those imposing the restrictions. This category of net </w:t>
      </w:r>
      <w:r>
        <w:rPr>
          <w:rFonts w:ascii="Arial" w:hAnsi="Arial" w:cs="Arial"/>
          <w:sz w:val="17"/>
          <w:szCs w:val="17"/>
        </w:rPr>
        <w:t>position</w:t>
      </w:r>
      <w:r w:rsidRPr="004913C2">
        <w:rPr>
          <w:rFonts w:ascii="Arial" w:hAnsi="Arial" w:cs="Arial"/>
          <w:sz w:val="17"/>
          <w:szCs w:val="17"/>
        </w:rPr>
        <w:t xml:space="preserve"> is intended to identify resources that were received or earned by the government with an explicit understanding between the government and the resource providers that the funds would be used for a specific purpose. For example, grants, contributions, and donations are often given under those kinds of conditions. Bond indentures similarly limit the use of proceeds. Also, a State law authorizing a component unit to levy or charge a tax or fee, the proceeds which can only be used for specified purposes, is a restriction imposed by an external party (i.e., the State) and any related net </w:t>
      </w:r>
      <w:r>
        <w:rPr>
          <w:rFonts w:ascii="Arial" w:hAnsi="Arial" w:cs="Arial"/>
          <w:sz w:val="17"/>
          <w:szCs w:val="17"/>
        </w:rPr>
        <w:t>position</w:t>
      </w:r>
      <w:r w:rsidRPr="004913C2">
        <w:rPr>
          <w:rFonts w:ascii="Arial" w:hAnsi="Arial" w:cs="Arial"/>
          <w:sz w:val="17"/>
          <w:szCs w:val="17"/>
        </w:rPr>
        <w:t xml:space="preserve"> should be reported by the component unit as restricted.</w:t>
      </w:r>
    </w:p>
    <w:p w14:paraId="0B5D420B"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The specific purpose of a restriction must be narrower than the reporting government itself. For example a grant to a college that may be used only for educational purposes should not be considered restricted, since the purpose of the grant is as broad as that of the college itself. A true restriction must impose a real limitation on the use of resources.</w:t>
      </w:r>
    </w:p>
    <w:p w14:paraId="13BB4550"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This category of net </w:t>
      </w:r>
      <w:r>
        <w:rPr>
          <w:rFonts w:ascii="Arial" w:hAnsi="Arial" w:cs="Arial"/>
          <w:sz w:val="17"/>
          <w:szCs w:val="17"/>
        </w:rPr>
        <w:t>position</w:t>
      </w:r>
      <w:r w:rsidRPr="004913C2">
        <w:rPr>
          <w:rFonts w:ascii="Arial" w:hAnsi="Arial" w:cs="Arial"/>
          <w:sz w:val="17"/>
          <w:szCs w:val="17"/>
        </w:rPr>
        <w:t xml:space="preserve"> should represent restricted assets on the accrual basis reduced by liabilities</w:t>
      </w:r>
      <w:r>
        <w:rPr>
          <w:rFonts w:ascii="Arial" w:hAnsi="Arial" w:cs="Arial"/>
          <w:sz w:val="17"/>
          <w:szCs w:val="17"/>
        </w:rPr>
        <w:t xml:space="preserve"> and deferred inflows of resources</w:t>
      </w:r>
      <w:r w:rsidRPr="004913C2">
        <w:rPr>
          <w:rFonts w:ascii="Arial" w:hAnsi="Arial" w:cs="Arial"/>
          <w:sz w:val="17"/>
          <w:szCs w:val="17"/>
        </w:rPr>
        <w:t xml:space="preserve"> that relate to those specific assets. A liability</w:t>
      </w:r>
      <w:r>
        <w:rPr>
          <w:rFonts w:ascii="Arial" w:hAnsi="Arial" w:cs="Arial"/>
          <w:sz w:val="17"/>
          <w:szCs w:val="17"/>
        </w:rPr>
        <w:t xml:space="preserve"> or deferred inflow</w:t>
      </w:r>
      <w:r w:rsidRPr="004913C2">
        <w:rPr>
          <w:rFonts w:ascii="Arial" w:hAnsi="Arial" w:cs="Arial"/>
          <w:sz w:val="17"/>
          <w:szCs w:val="17"/>
        </w:rPr>
        <w:t xml:space="preserve"> relates to restricted assets if the asset results from incurring the liability</w:t>
      </w:r>
      <w:r>
        <w:rPr>
          <w:rFonts w:ascii="Arial" w:hAnsi="Arial" w:cs="Arial"/>
          <w:sz w:val="17"/>
          <w:szCs w:val="17"/>
        </w:rPr>
        <w:t>/ deferred inflow</w:t>
      </w:r>
      <w:r w:rsidRPr="004913C2">
        <w:rPr>
          <w:rFonts w:ascii="Arial" w:hAnsi="Arial" w:cs="Arial"/>
          <w:sz w:val="17"/>
          <w:szCs w:val="17"/>
        </w:rPr>
        <w:t xml:space="preserve"> or if the liability</w:t>
      </w:r>
      <w:r>
        <w:rPr>
          <w:rFonts w:ascii="Arial" w:hAnsi="Arial" w:cs="Arial"/>
          <w:sz w:val="17"/>
          <w:szCs w:val="17"/>
        </w:rPr>
        <w:t>/ deferred inflow</w:t>
      </w:r>
      <w:r w:rsidRPr="004913C2">
        <w:rPr>
          <w:rFonts w:ascii="Arial" w:hAnsi="Arial" w:cs="Arial"/>
          <w:sz w:val="17"/>
          <w:szCs w:val="17"/>
        </w:rPr>
        <w:t xml:space="preserve"> will be liquidated with the restricted assets. Examples of related liabilities</w:t>
      </w:r>
      <w:r>
        <w:rPr>
          <w:rFonts w:ascii="Arial" w:hAnsi="Arial" w:cs="Arial"/>
          <w:sz w:val="17"/>
          <w:szCs w:val="17"/>
        </w:rPr>
        <w:t>/ deferred inflows of resources</w:t>
      </w:r>
      <w:r w:rsidRPr="004913C2">
        <w:rPr>
          <w:rFonts w:ascii="Arial" w:hAnsi="Arial" w:cs="Arial"/>
          <w:sz w:val="17"/>
          <w:szCs w:val="17"/>
        </w:rPr>
        <w:t xml:space="preserve"> include the following:</w:t>
      </w:r>
    </w:p>
    <w:p w14:paraId="125ED313" w14:textId="77777777" w:rsidR="001E4EAD" w:rsidRPr="004913C2" w:rsidRDefault="001E4EAD" w:rsidP="001E4EAD">
      <w:pPr>
        <w:numPr>
          <w:ilvl w:val="0"/>
          <w:numId w:val="17"/>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Unspent portion of capital debt related to amounts restricted for capital projects. </w:t>
      </w:r>
    </w:p>
    <w:p w14:paraId="5AD43E8B" w14:textId="77777777" w:rsidR="001E4EAD" w:rsidRPr="004913C2" w:rsidRDefault="001E4EAD" w:rsidP="001E4EAD">
      <w:pPr>
        <w:numPr>
          <w:ilvl w:val="0"/>
          <w:numId w:val="17"/>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Unspent portion of noncapital debt related to amounts restricted for education. </w:t>
      </w:r>
    </w:p>
    <w:p w14:paraId="1B702EA5" w14:textId="77777777" w:rsidR="001E4EAD" w:rsidRPr="004913C2" w:rsidRDefault="001E4EAD" w:rsidP="001E4EAD">
      <w:pPr>
        <w:numPr>
          <w:ilvl w:val="0"/>
          <w:numId w:val="17"/>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Accrued interest related to funds restricted for debt service. </w:t>
      </w:r>
    </w:p>
    <w:p w14:paraId="39BA22BE" w14:textId="77777777" w:rsidR="001E4EAD" w:rsidRPr="004913C2" w:rsidRDefault="001E4EAD" w:rsidP="001E4EAD">
      <w:pPr>
        <w:numPr>
          <w:ilvl w:val="0"/>
          <w:numId w:val="17"/>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Compensated absence accruals related to federal grant reimbursements</w:t>
      </w:r>
      <w:r>
        <w:rPr>
          <w:rFonts w:ascii="Arial" w:hAnsi="Arial" w:cs="Arial"/>
          <w:sz w:val="17"/>
          <w:szCs w:val="17"/>
        </w:rPr>
        <w:t xml:space="preserve">. </w:t>
      </w:r>
      <w:r w:rsidRPr="004913C2">
        <w:rPr>
          <w:rFonts w:ascii="Arial" w:hAnsi="Arial" w:cs="Arial"/>
          <w:sz w:val="17"/>
          <w:szCs w:val="17"/>
        </w:rPr>
        <w:t xml:space="preserve"> (Note: Generally, compensated absences will reduce unrestricted net </w:t>
      </w:r>
      <w:r>
        <w:rPr>
          <w:rFonts w:ascii="Arial" w:hAnsi="Arial" w:cs="Arial"/>
          <w:sz w:val="17"/>
          <w:szCs w:val="17"/>
        </w:rPr>
        <w:t>position</w:t>
      </w:r>
      <w:r w:rsidRPr="004913C2">
        <w:rPr>
          <w:rFonts w:ascii="Arial" w:hAnsi="Arial" w:cs="Arial"/>
          <w:sz w:val="17"/>
          <w:szCs w:val="17"/>
        </w:rPr>
        <w:t xml:space="preserve">. However, compensated absences will be considered related liabilities if they are reimbursable expenses when earned). </w:t>
      </w:r>
    </w:p>
    <w:p w14:paraId="34D3B2B5" w14:textId="77777777" w:rsidR="001E4EAD" w:rsidRPr="004913C2" w:rsidRDefault="001E4EAD" w:rsidP="001E4EAD">
      <w:pPr>
        <w:numPr>
          <w:ilvl w:val="0"/>
          <w:numId w:val="17"/>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No c</w:t>
      </w:r>
      <w:r>
        <w:rPr>
          <w:rFonts w:ascii="Arial" w:hAnsi="Arial" w:cs="Arial"/>
          <w:sz w:val="17"/>
          <w:szCs w:val="17"/>
        </w:rPr>
        <w:t>ategory of restricted net position</w:t>
      </w:r>
      <w:r w:rsidRPr="004913C2">
        <w:rPr>
          <w:rFonts w:ascii="Arial" w:hAnsi="Arial" w:cs="Arial"/>
          <w:sz w:val="17"/>
          <w:szCs w:val="17"/>
        </w:rPr>
        <w:t xml:space="preserve"> can be negative. If liabilities</w:t>
      </w:r>
      <w:r>
        <w:rPr>
          <w:rFonts w:ascii="Arial" w:hAnsi="Arial" w:cs="Arial"/>
          <w:sz w:val="17"/>
          <w:szCs w:val="17"/>
        </w:rPr>
        <w:t xml:space="preserve"> and deferred inflows of resources</w:t>
      </w:r>
      <w:r w:rsidRPr="004913C2">
        <w:rPr>
          <w:rFonts w:ascii="Arial" w:hAnsi="Arial" w:cs="Arial"/>
          <w:sz w:val="17"/>
          <w:szCs w:val="17"/>
        </w:rPr>
        <w:t xml:space="preserve"> that relate to restricted assets exceed those assets, no balance should be reported; the negative amount should be reported as a reduct</w:t>
      </w:r>
      <w:r>
        <w:rPr>
          <w:rFonts w:ascii="Arial" w:hAnsi="Arial" w:cs="Arial"/>
          <w:sz w:val="17"/>
          <w:szCs w:val="17"/>
        </w:rPr>
        <w:t>ion of unrestricted net position</w:t>
      </w:r>
      <w:r w:rsidRPr="004913C2">
        <w:rPr>
          <w:rFonts w:ascii="Arial" w:hAnsi="Arial" w:cs="Arial"/>
          <w:sz w:val="17"/>
          <w:szCs w:val="17"/>
        </w:rPr>
        <w:t xml:space="preserve">. </w:t>
      </w:r>
    </w:p>
    <w:p w14:paraId="387BA1DF"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When permanent endowments</w:t>
      </w:r>
      <w:r>
        <w:rPr>
          <w:rFonts w:ascii="Arial" w:hAnsi="Arial" w:cs="Arial"/>
          <w:sz w:val="17"/>
          <w:szCs w:val="17"/>
        </w:rPr>
        <w:t>,</w:t>
      </w:r>
      <w:r w:rsidRPr="004913C2">
        <w:rPr>
          <w:rFonts w:ascii="Arial" w:hAnsi="Arial" w:cs="Arial"/>
          <w:sz w:val="17"/>
          <w:szCs w:val="17"/>
        </w:rPr>
        <w:t xml:space="preserve"> permanent fund principal amounts</w:t>
      </w:r>
      <w:r>
        <w:rPr>
          <w:rFonts w:ascii="Arial" w:hAnsi="Arial" w:cs="Arial"/>
          <w:sz w:val="17"/>
          <w:szCs w:val="17"/>
        </w:rPr>
        <w:t>, or minority interest in a component unit</w:t>
      </w:r>
      <w:r w:rsidRPr="004913C2">
        <w:rPr>
          <w:rFonts w:ascii="Arial" w:hAnsi="Arial" w:cs="Arial"/>
          <w:sz w:val="17"/>
          <w:szCs w:val="17"/>
        </w:rPr>
        <w:t xml:space="preserve"> are </w:t>
      </w:r>
      <w:r>
        <w:rPr>
          <w:rFonts w:ascii="Arial" w:hAnsi="Arial" w:cs="Arial"/>
          <w:sz w:val="17"/>
          <w:szCs w:val="17"/>
        </w:rPr>
        <w:t>included, "restricted net position</w:t>
      </w:r>
      <w:r w:rsidRPr="004913C2">
        <w:rPr>
          <w:rFonts w:ascii="Arial" w:hAnsi="Arial" w:cs="Arial"/>
          <w:sz w:val="17"/>
          <w:szCs w:val="17"/>
        </w:rPr>
        <w:t>" should be displayed in two additional components expendable and nonexpe</w:t>
      </w:r>
      <w:r>
        <w:rPr>
          <w:rFonts w:ascii="Arial" w:hAnsi="Arial" w:cs="Arial"/>
          <w:sz w:val="17"/>
          <w:szCs w:val="17"/>
        </w:rPr>
        <w:t>ndable. Nonexpendable net position</w:t>
      </w:r>
      <w:r w:rsidRPr="004913C2">
        <w:rPr>
          <w:rFonts w:ascii="Arial" w:hAnsi="Arial" w:cs="Arial"/>
          <w:sz w:val="17"/>
          <w:szCs w:val="17"/>
        </w:rPr>
        <w:t xml:space="preserve"> </w:t>
      </w:r>
      <w:r>
        <w:rPr>
          <w:rFonts w:ascii="Arial" w:hAnsi="Arial" w:cs="Arial"/>
          <w:sz w:val="17"/>
          <w:szCs w:val="17"/>
        </w:rPr>
        <w:t>is</w:t>
      </w:r>
      <w:r w:rsidRPr="004913C2">
        <w:rPr>
          <w:rFonts w:ascii="Arial" w:hAnsi="Arial" w:cs="Arial"/>
          <w:sz w:val="17"/>
          <w:szCs w:val="17"/>
        </w:rPr>
        <w:t xml:space="preserve"> those that are required to be retained in perpetuity</w:t>
      </w:r>
      <w:r>
        <w:rPr>
          <w:rFonts w:ascii="Arial" w:hAnsi="Arial" w:cs="Arial"/>
          <w:sz w:val="17"/>
          <w:szCs w:val="17"/>
        </w:rPr>
        <w:t xml:space="preserve"> or that represent minority interests in component units</w:t>
      </w:r>
      <w:r w:rsidRPr="004913C2">
        <w:rPr>
          <w:rFonts w:ascii="Arial" w:hAnsi="Arial" w:cs="Arial"/>
          <w:sz w:val="17"/>
          <w:szCs w:val="17"/>
        </w:rPr>
        <w:t>.</w:t>
      </w:r>
    </w:p>
    <w:p w14:paraId="79FDB2DD" w14:textId="77777777" w:rsidR="001E4EAD" w:rsidRPr="00681134" w:rsidRDefault="001E4EAD" w:rsidP="001E4EAD">
      <w:pPr>
        <w:shd w:val="clear" w:color="auto" w:fill="FFFFFF"/>
        <w:spacing w:before="100" w:beforeAutospacing="1" w:after="100" w:afterAutospacing="1"/>
        <w:rPr>
          <w:rFonts w:ascii="Arial" w:hAnsi="Arial" w:cs="Arial"/>
          <w:sz w:val="17"/>
          <w:szCs w:val="17"/>
        </w:rPr>
      </w:pPr>
      <w:r w:rsidRPr="00681134">
        <w:rPr>
          <w:rFonts w:ascii="Arial" w:hAnsi="Arial" w:cs="Arial"/>
          <w:sz w:val="17"/>
          <w:szCs w:val="17"/>
        </w:rPr>
        <w:t>In the notes to the financial statements, the summary of significant accounting policies should disclose the government’s policy regarding whether to first apply restricted or unrestricted resources when an expense is incurred for purposes for which both restricted and unrestricted net position are available.</w:t>
      </w:r>
    </w:p>
    <w:p w14:paraId="14C3B3BC"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681134">
        <w:rPr>
          <w:rFonts w:ascii="Arial" w:hAnsi="Arial" w:cs="Arial"/>
          <w:sz w:val="17"/>
          <w:szCs w:val="17"/>
          <w:u w:val="single"/>
        </w:rPr>
        <w:t>Unrestricted</w:t>
      </w:r>
      <w:r w:rsidRPr="004913C2">
        <w:rPr>
          <w:rFonts w:ascii="Arial" w:hAnsi="Arial" w:cs="Arial"/>
          <w:sz w:val="17"/>
          <w:szCs w:val="17"/>
          <w:u w:val="single"/>
        </w:rPr>
        <w:t xml:space="preserve"> Net </w:t>
      </w:r>
      <w:r>
        <w:rPr>
          <w:rFonts w:ascii="Arial" w:hAnsi="Arial" w:cs="Arial"/>
          <w:sz w:val="17"/>
          <w:szCs w:val="17"/>
          <w:u w:val="single"/>
        </w:rPr>
        <w:t>Position</w:t>
      </w:r>
    </w:p>
    <w:p w14:paraId="32D2F90E"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Unrestricted net </w:t>
      </w:r>
      <w:r>
        <w:rPr>
          <w:rFonts w:ascii="Arial" w:hAnsi="Arial" w:cs="Arial"/>
          <w:sz w:val="17"/>
          <w:szCs w:val="17"/>
        </w:rPr>
        <w:t>position</w:t>
      </w:r>
      <w:r w:rsidRPr="004913C2">
        <w:rPr>
          <w:rFonts w:ascii="Arial" w:hAnsi="Arial" w:cs="Arial"/>
          <w:sz w:val="17"/>
          <w:szCs w:val="17"/>
        </w:rPr>
        <w:t xml:space="preserve"> </w:t>
      </w:r>
      <w:r>
        <w:rPr>
          <w:rFonts w:ascii="Arial" w:hAnsi="Arial" w:cs="Arial"/>
          <w:sz w:val="17"/>
          <w:szCs w:val="17"/>
        </w:rPr>
        <w:t>is</w:t>
      </w:r>
      <w:r w:rsidRPr="004913C2">
        <w:rPr>
          <w:rFonts w:ascii="Arial" w:hAnsi="Arial" w:cs="Arial"/>
          <w:sz w:val="17"/>
          <w:szCs w:val="17"/>
        </w:rPr>
        <w:t xml:space="preserve"> the "residual" component of net </w:t>
      </w:r>
      <w:r>
        <w:rPr>
          <w:rFonts w:ascii="Arial" w:hAnsi="Arial" w:cs="Arial"/>
          <w:sz w:val="17"/>
          <w:szCs w:val="17"/>
        </w:rPr>
        <w:t>position</w:t>
      </w:r>
      <w:r w:rsidRPr="004913C2">
        <w:rPr>
          <w:rFonts w:ascii="Arial" w:hAnsi="Arial" w:cs="Arial"/>
          <w:sz w:val="17"/>
          <w:szCs w:val="17"/>
        </w:rPr>
        <w:t xml:space="preserve">. It consists of net </w:t>
      </w:r>
      <w:r>
        <w:rPr>
          <w:rFonts w:ascii="Arial" w:hAnsi="Arial" w:cs="Arial"/>
          <w:sz w:val="17"/>
          <w:szCs w:val="17"/>
        </w:rPr>
        <w:t>position</w:t>
      </w:r>
      <w:r w:rsidRPr="004913C2">
        <w:rPr>
          <w:rFonts w:ascii="Arial" w:hAnsi="Arial" w:cs="Arial"/>
          <w:sz w:val="17"/>
          <w:szCs w:val="17"/>
        </w:rPr>
        <w:t xml:space="preserve"> that do</w:t>
      </w:r>
      <w:r>
        <w:rPr>
          <w:rFonts w:ascii="Arial" w:hAnsi="Arial" w:cs="Arial"/>
          <w:sz w:val="17"/>
          <w:szCs w:val="17"/>
        </w:rPr>
        <w:t>es</w:t>
      </w:r>
      <w:r w:rsidRPr="004913C2">
        <w:rPr>
          <w:rFonts w:ascii="Arial" w:hAnsi="Arial" w:cs="Arial"/>
          <w:sz w:val="17"/>
          <w:szCs w:val="17"/>
        </w:rPr>
        <w:t xml:space="preserve"> not meet the definition of "restricted" or "</w:t>
      </w:r>
      <w:r>
        <w:rPr>
          <w:rFonts w:ascii="Arial" w:hAnsi="Arial" w:cs="Arial"/>
          <w:sz w:val="17"/>
          <w:szCs w:val="17"/>
        </w:rPr>
        <w:t xml:space="preserve">net </w:t>
      </w:r>
      <w:r w:rsidRPr="004913C2">
        <w:rPr>
          <w:rFonts w:ascii="Arial" w:hAnsi="Arial" w:cs="Arial"/>
          <w:sz w:val="17"/>
          <w:szCs w:val="17"/>
        </w:rPr>
        <w:t>invest</w:t>
      </w:r>
      <w:r>
        <w:rPr>
          <w:rFonts w:ascii="Arial" w:hAnsi="Arial" w:cs="Arial"/>
          <w:sz w:val="17"/>
          <w:szCs w:val="17"/>
        </w:rPr>
        <w:t>ment</w:t>
      </w:r>
      <w:r w:rsidRPr="004913C2">
        <w:rPr>
          <w:rFonts w:ascii="Arial" w:hAnsi="Arial" w:cs="Arial"/>
          <w:sz w:val="17"/>
          <w:szCs w:val="17"/>
        </w:rPr>
        <w:t xml:space="preserve"> in capital assets."</w:t>
      </w:r>
    </w:p>
    <w:p w14:paraId="62A96C0B"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Situations where the State's internal governing body (General Assembly) places restrictions on existing resources or earmarks existing revenue sources are considered to be constraints that are internally imposed. In these situations, the government does </w:t>
      </w:r>
      <w:r w:rsidRPr="004913C2">
        <w:rPr>
          <w:rFonts w:ascii="Arial" w:hAnsi="Arial" w:cs="Arial"/>
          <w:sz w:val="17"/>
          <w:szCs w:val="17"/>
        </w:rPr>
        <w:lastRenderedPageBreak/>
        <w:t xml:space="preserve">not obtain funds under restrictive conditions; thus, the limitations imposed indicate designations, not restrictions. Such internally dedicated net </w:t>
      </w:r>
      <w:r>
        <w:rPr>
          <w:rFonts w:ascii="Arial" w:hAnsi="Arial" w:cs="Arial"/>
          <w:sz w:val="17"/>
          <w:szCs w:val="17"/>
        </w:rPr>
        <w:t>position</w:t>
      </w:r>
      <w:r w:rsidRPr="004913C2">
        <w:rPr>
          <w:rFonts w:ascii="Arial" w:hAnsi="Arial" w:cs="Arial"/>
          <w:sz w:val="17"/>
          <w:szCs w:val="17"/>
        </w:rPr>
        <w:t xml:space="preserve"> should be presented as unrestricted.</w:t>
      </w:r>
    </w:p>
    <w:p w14:paraId="18A2D9A9"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Designations of net </w:t>
      </w:r>
      <w:r>
        <w:rPr>
          <w:rFonts w:ascii="Arial" w:hAnsi="Arial" w:cs="Arial"/>
          <w:sz w:val="17"/>
          <w:szCs w:val="17"/>
        </w:rPr>
        <w:t>position</w:t>
      </w:r>
      <w:r w:rsidRPr="004913C2">
        <w:rPr>
          <w:rFonts w:ascii="Arial" w:hAnsi="Arial" w:cs="Arial"/>
          <w:sz w:val="17"/>
          <w:szCs w:val="17"/>
        </w:rPr>
        <w:t xml:space="preserve"> should not be reported on the face of the statement of net </w:t>
      </w:r>
      <w:r>
        <w:rPr>
          <w:rFonts w:ascii="Arial" w:hAnsi="Arial" w:cs="Arial"/>
          <w:sz w:val="17"/>
          <w:szCs w:val="17"/>
        </w:rPr>
        <w:t>position</w:t>
      </w:r>
      <w:r w:rsidRPr="004913C2">
        <w:rPr>
          <w:rFonts w:ascii="Arial" w:hAnsi="Arial" w:cs="Arial"/>
          <w:sz w:val="17"/>
          <w:szCs w:val="17"/>
        </w:rPr>
        <w:t>.</w:t>
      </w:r>
    </w:p>
    <w:p w14:paraId="3A84DEF1" w14:textId="77777777" w:rsidR="001E4EAD"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Unrestricted net </w:t>
      </w:r>
      <w:r>
        <w:rPr>
          <w:rFonts w:ascii="Arial" w:hAnsi="Arial" w:cs="Arial"/>
          <w:sz w:val="17"/>
          <w:szCs w:val="17"/>
        </w:rPr>
        <w:t>position</w:t>
      </w:r>
      <w:r w:rsidRPr="004913C2">
        <w:rPr>
          <w:rFonts w:ascii="Arial" w:hAnsi="Arial" w:cs="Arial"/>
          <w:sz w:val="17"/>
          <w:szCs w:val="17"/>
        </w:rPr>
        <w:t xml:space="preserve"> may be a negative number to the extent that a government has elected to fund certain long-term liabilities (compensated absences) as they come due rather than when they are incurred. Agencies should be certain that all liabilities payable</w:t>
      </w:r>
      <w:r>
        <w:rPr>
          <w:rFonts w:ascii="Arial" w:hAnsi="Arial" w:cs="Arial"/>
          <w:sz w:val="17"/>
          <w:szCs w:val="17"/>
        </w:rPr>
        <w:t xml:space="preserve"> and deferred inflows of resources</w:t>
      </w:r>
      <w:r w:rsidRPr="004913C2">
        <w:rPr>
          <w:rFonts w:ascii="Arial" w:hAnsi="Arial" w:cs="Arial"/>
          <w:sz w:val="17"/>
          <w:szCs w:val="17"/>
        </w:rPr>
        <w:t xml:space="preserve"> from restricted sources have been reported as part of the restricted net </w:t>
      </w:r>
      <w:r>
        <w:rPr>
          <w:rFonts w:ascii="Arial" w:hAnsi="Arial" w:cs="Arial"/>
          <w:sz w:val="17"/>
          <w:szCs w:val="17"/>
        </w:rPr>
        <w:t>position</w:t>
      </w:r>
      <w:r w:rsidRPr="004913C2">
        <w:rPr>
          <w:rFonts w:ascii="Arial" w:hAnsi="Arial" w:cs="Arial"/>
          <w:sz w:val="17"/>
          <w:szCs w:val="17"/>
        </w:rPr>
        <w:t xml:space="preserve"> component.</w:t>
      </w:r>
    </w:p>
    <w:p w14:paraId="1669A662" w14:textId="77777777" w:rsidR="00805B6E" w:rsidRDefault="00805B6E" w:rsidP="00805B6E">
      <w:pPr>
        <w:jc w:val="both"/>
        <w:rPr>
          <w:b/>
        </w:rPr>
      </w:pPr>
      <w:r>
        <w:rPr>
          <w:b/>
        </w:rPr>
        <w:t>GUIDELINES FOR CALCULATIING NET POSITION:</w:t>
      </w:r>
    </w:p>
    <w:p w14:paraId="6E20C77A" w14:textId="77777777" w:rsidR="00805B6E" w:rsidRDefault="00805B6E" w:rsidP="00805B6E">
      <w:pPr>
        <w:jc w:val="both"/>
        <w:rPr>
          <w:b/>
        </w:rPr>
      </w:pPr>
    </w:p>
    <w:p w14:paraId="7A919744" w14:textId="77777777" w:rsidR="00805B6E" w:rsidRPr="00805B6E" w:rsidRDefault="00805B6E" w:rsidP="00805B6E">
      <w:pPr>
        <w:jc w:val="both"/>
      </w:pPr>
      <w:r w:rsidRPr="00805B6E">
        <w:rPr>
          <w:b/>
        </w:rPr>
        <w:t>Net investment in capital assets</w:t>
      </w:r>
      <w:r w:rsidRPr="00805B6E">
        <w:t xml:space="preserve"> should be computed first and is calculated as follows:</w:t>
      </w:r>
    </w:p>
    <w:p w14:paraId="3E6506F6" w14:textId="77777777" w:rsidR="00805B6E" w:rsidRPr="00805B6E" w:rsidRDefault="00805B6E" w:rsidP="00805B6E">
      <w:pPr>
        <w:jc w:val="both"/>
      </w:pPr>
    </w:p>
    <w:p w14:paraId="44C8DD90" w14:textId="77777777" w:rsidR="00805B6E" w:rsidRPr="00805B6E" w:rsidRDefault="00805B6E" w:rsidP="00805B6E">
      <w:pPr>
        <w:jc w:val="both"/>
      </w:pPr>
      <w:r w:rsidRPr="00805B6E">
        <w:t>Capital assets (depreciable plus nondepreciable)</w:t>
      </w:r>
    </w:p>
    <w:p w14:paraId="68E8C11D" w14:textId="77777777" w:rsidR="00805B6E" w:rsidRPr="00805B6E" w:rsidRDefault="00805B6E" w:rsidP="00805B6E">
      <w:pPr>
        <w:jc w:val="both"/>
      </w:pPr>
    </w:p>
    <w:p w14:paraId="444573A4" w14:textId="77777777" w:rsidR="00805B6E" w:rsidRPr="00805B6E" w:rsidRDefault="00805B6E" w:rsidP="00805B6E">
      <w:pPr>
        <w:jc w:val="both"/>
      </w:pPr>
      <w:r w:rsidRPr="00805B6E">
        <w:t>Less: Accumulated Depreciation</w:t>
      </w:r>
    </w:p>
    <w:p w14:paraId="377228F4" w14:textId="77777777" w:rsidR="00805B6E" w:rsidRPr="00805B6E" w:rsidRDefault="00805B6E" w:rsidP="00805B6E">
      <w:pPr>
        <w:jc w:val="both"/>
      </w:pPr>
    </w:p>
    <w:p w14:paraId="3199F255" w14:textId="77777777" w:rsidR="00805B6E" w:rsidRPr="00805B6E" w:rsidRDefault="00805B6E" w:rsidP="00805B6E">
      <w:pPr>
        <w:jc w:val="both"/>
      </w:pPr>
      <w:r w:rsidRPr="00805B6E">
        <w:t>Less: Outstanding balances of borrowings for capital asset acquisition, construction, or improvement (including face amount and premiums or discounts of bonds, mortgages, notes, and other borrowings)</w:t>
      </w:r>
    </w:p>
    <w:p w14:paraId="79F26A9C" w14:textId="77777777" w:rsidR="00805B6E" w:rsidRPr="00805B6E" w:rsidRDefault="00805B6E" w:rsidP="00805B6E">
      <w:pPr>
        <w:jc w:val="both"/>
      </w:pPr>
    </w:p>
    <w:p w14:paraId="63F0EAAA" w14:textId="77777777" w:rsidR="00805B6E" w:rsidRPr="00805B6E" w:rsidRDefault="00805B6E" w:rsidP="00805B6E">
      <w:pPr>
        <w:jc w:val="both"/>
      </w:pPr>
      <w:r w:rsidRPr="00805B6E">
        <w:t>Plus: Deferred outflows of resources attributable to capital asset acquisition, construction, or improvement</w:t>
      </w:r>
    </w:p>
    <w:p w14:paraId="2C676FAC" w14:textId="77777777" w:rsidR="00805B6E" w:rsidRPr="00805B6E" w:rsidRDefault="00805B6E" w:rsidP="00805B6E">
      <w:pPr>
        <w:jc w:val="both"/>
      </w:pPr>
    </w:p>
    <w:p w14:paraId="1733F340" w14:textId="77777777" w:rsidR="00805B6E" w:rsidRPr="00805B6E" w:rsidRDefault="00805B6E" w:rsidP="00805B6E">
      <w:pPr>
        <w:jc w:val="both"/>
      </w:pPr>
      <w:r w:rsidRPr="00805B6E">
        <w:t>Less: Deferred inflows of resources attributable to either capital asset acquisition, construction, or improvement or to capital asset related debt</w:t>
      </w:r>
    </w:p>
    <w:p w14:paraId="3F07A8F4" w14:textId="77777777" w:rsidR="00805B6E" w:rsidRPr="00805B6E" w:rsidRDefault="00805B6E" w:rsidP="00805B6E">
      <w:pPr>
        <w:jc w:val="both"/>
      </w:pPr>
    </w:p>
    <w:p w14:paraId="23E97627" w14:textId="77777777" w:rsidR="00805B6E" w:rsidRPr="00805B6E" w:rsidRDefault="00805B6E" w:rsidP="00805B6E">
      <w:pPr>
        <w:jc w:val="both"/>
      </w:pPr>
      <w:r w:rsidRPr="00805B6E">
        <w:t>Equals: Net Investment in Capital Assets</w:t>
      </w:r>
    </w:p>
    <w:p w14:paraId="4E668405" w14:textId="77777777" w:rsidR="00805B6E" w:rsidRPr="00805B6E" w:rsidRDefault="00805B6E" w:rsidP="00805B6E">
      <w:pPr>
        <w:jc w:val="both"/>
      </w:pPr>
    </w:p>
    <w:p w14:paraId="4DE38317" w14:textId="77777777" w:rsidR="00805B6E" w:rsidRPr="00805B6E" w:rsidRDefault="00805B6E" w:rsidP="00805B6E">
      <w:pPr>
        <w:jc w:val="both"/>
      </w:pPr>
      <w:r w:rsidRPr="00805B6E">
        <w:rPr>
          <w:b/>
        </w:rPr>
        <w:t>Restricted Net Position</w:t>
      </w:r>
      <w:r w:rsidRPr="00805B6E">
        <w:t xml:space="preserve"> should be computed next as follows:</w:t>
      </w:r>
    </w:p>
    <w:p w14:paraId="2C28E9F1" w14:textId="77777777" w:rsidR="00805B6E" w:rsidRPr="00805B6E" w:rsidRDefault="00805B6E" w:rsidP="00805B6E">
      <w:pPr>
        <w:jc w:val="both"/>
      </w:pPr>
    </w:p>
    <w:p w14:paraId="38A37B33" w14:textId="77777777" w:rsidR="00805B6E" w:rsidRPr="00805B6E" w:rsidRDefault="00805B6E" w:rsidP="00805B6E">
      <w:pPr>
        <w:jc w:val="both"/>
      </w:pPr>
      <w:r w:rsidRPr="00805B6E">
        <w:t>Restricted Assets</w:t>
      </w:r>
    </w:p>
    <w:p w14:paraId="72BA134A" w14:textId="77777777" w:rsidR="00805B6E" w:rsidRPr="00805B6E" w:rsidRDefault="00805B6E" w:rsidP="00805B6E">
      <w:pPr>
        <w:jc w:val="both"/>
      </w:pPr>
    </w:p>
    <w:p w14:paraId="6782EDD3" w14:textId="77777777" w:rsidR="00805B6E" w:rsidRPr="00805B6E" w:rsidRDefault="00805B6E" w:rsidP="00805B6E">
      <w:pPr>
        <w:jc w:val="both"/>
      </w:pPr>
      <w:r w:rsidRPr="00805B6E">
        <w:t>Less: Liabilities related to restricted assets</w:t>
      </w:r>
    </w:p>
    <w:p w14:paraId="24EA9FE1" w14:textId="77777777" w:rsidR="00805B6E" w:rsidRPr="00805B6E" w:rsidRDefault="00805B6E" w:rsidP="00805B6E">
      <w:pPr>
        <w:jc w:val="both"/>
      </w:pPr>
    </w:p>
    <w:p w14:paraId="5804479D" w14:textId="77777777" w:rsidR="00805B6E" w:rsidRPr="00805B6E" w:rsidRDefault="00805B6E" w:rsidP="00805B6E">
      <w:pPr>
        <w:jc w:val="both"/>
      </w:pPr>
      <w:r w:rsidRPr="00805B6E">
        <w:t>Less: Deferred inflows of resources related to restricted assets</w:t>
      </w:r>
    </w:p>
    <w:p w14:paraId="373C39D0" w14:textId="77777777" w:rsidR="00805B6E" w:rsidRPr="00805B6E" w:rsidRDefault="00805B6E" w:rsidP="00805B6E">
      <w:pPr>
        <w:jc w:val="both"/>
      </w:pPr>
    </w:p>
    <w:p w14:paraId="1C82A9FF" w14:textId="77777777" w:rsidR="00805B6E" w:rsidRPr="00805B6E" w:rsidRDefault="00805B6E" w:rsidP="00805B6E">
      <w:pPr>
        <w:jc w:val="both"/>
      </w:pPr>
      <w:r w:rsidRPr="00805B6E">
        <w:t>Equals: Restricted Net Position</w:t>
      </w:r>
    </w:p>
    <w:p w14:paraId="5BC04F69" w14:textId="77777777" w:rsidR="00805B6E" w:rsidRPr="00805B6E" w:rsidRDefault="00805B6E" w:rsidP="00805B6E">
      <w:pPr>
        <w:jc w:val="both"/>
      </w:pPr>
    </w:p>
    <w:p w14:paraId="7BB35CB0" w14:textId="77777777" w:rsidR="00805B6E" w:rsidRPr="00805B6E" w:rsidRDefault="00805B6E" w:rsidP="00805B6E">
      <w:pPr>
        <w:jc w:val="both"/>
      </w:pPr>
      <w:r w:rsidRPr="00805B6E">
        <w:t>Liabilities related to restricted assets include liabilities:</w:t>
      </w:r>
    </w:p>
    <w:p w14:paraId="2AF7BB35" w14:textId="77777777" w:rsidR="00805B6E" w:rsidRPr="00805B6E" w:rsidRDefault="00805B6E" w:rsidP="00805B6E">
      <w:pPr>
        <w:jc w:val="both"/>
      </w:pPr>
      <w:r w:rsidRPr="00805B6E">
        <w:t xml:space="preserve"> 1) To be liquidated with restricted assets;</w:t>
      </w:r>
    </w:p>
    <w:p w14:paraId="7CD5B00D" w14:textId="77777777" w:rsidR="00805B6E" w:rsidRPr="00805B6E" w:rsidRDefault="00805B6E" w:rsidP="00805B6E">
      <w:pPr>
        <w:jc w:val="both"/>
      </w:pPr>
      <w:r w:rsidRPr="00805B6E">
        <w:t xml:space="preserve"> 2) Arising from the same resource flow that results in restricted assets.</w:t>
      </w:r>
    </w:p>
    <w:p w14:paraId="2CCFCDB9" w14:textId="77777777" w:rsidR="00805B6E" w:rsidRPr="00805B6E" w:rsidRDefault="00805B6E" w:rsidP="00805B6E">
      <w:pPr>
        <w:jc w:val="both"/>
      </w:pPr>
    </w:p>
    <w:p w14:paraId="3B13F45F" w14:textId="77777777" w:rsidR="00805B6E" w:rsidRPr="00805B6E" w:rsidRDefault="00805B6E" w:rsidP="00805B6E">
      <w:pPr>
        <w:jc w:val="both"/>
      </w:pPr>
      <w:r w:rsidRPr="00805B6E">
        <w:t>Note that deferred outflows of resources are not included in restricted net position.</w:t>
      </w:r>
    </w:p>
    <w:p w14:paraId="0792A2E7" w14:textId="77777777" w:rsidR="00805B6E" w:rsidRPr="00805B6E" w:rsidRDefault="00805B6E" w:rsidP="00805B6E">
      <w:pPr>
        <w:jc w:val="both"/>
      </w:pPr>
    </w:p>
    <w:p w14:paraId="1F8028D9" w14:textId="77777777" w:rsidR="00805B6E" w:rsidRPr="00805B6E" w:rsidRDefault="00805B6E" w:rsidP="00805B6E">
      <w:pPr>
        <w:jc w:val="both"/>
      </w:pPr>
      <w:r w:rsidRPr="00805B6E">
        <w:rPr>
          <w:b/>
        </w:rPr>
        <w:t>Unrestricted Net Position</w:t>
      </w:r>
      <w:r w:rsidRPr="00805B6E">
        <w:t xml:space="preserve"> is the residual amount that should be calculated last as follows:</w:t>
      </w:r>
    </w:p>
    <w:p w14:paraId="12ABD7C3" w14:textId="77777777" w:rsidR="00805B6E" w:rsidRPr="00805B6E" w:rsidRDefault="00805B6E" w:rsidP="00805B6E">
      <w:pPr>
        <w:jc w:val="both"/>
      </w:pPr>
    </w:p>
    <w:p w14:paraId="65811FE4" w14:textId="77777777" w:rsidR="00805B6E" w:rsidRPr="00805B6E" w:rsidRDefault="00805B6E" w:rsidP="00805B6E">
      <w:pPr>
        <w:jc w:val="both"/>
      </w:pPr>
      <w:r w:rsidRPr="00805B6E">
        <w:t>Total Net position</w:t>
      </w:r>
    </w:p>
    <w:p w14:paraId="25B155AE" w14:textId="77777777" w:rsidR="00805B6E" w:rsidRPr="00805B6E" w:rsidRDefault="00805B6E" w:rsidP="00805B6E">
      <w:pPr>
        <w:jc w:val="both"/>
      </w:pPr>
    </w:p>
    <w:p w14:paraId="1F30C49C" w14:textId="77777777" w:rsidR="00805B6E" w:rsidRPr="00805B6E" w:rsidRDefault="00805B6E" w:rsidP="00805B6E">
      <w:pPr>
        <w:jc w:val="both"/>
      </w:pPr>
      <w:r w:rsidRPr="00805B6E">
        <w:t>Less: Net Investment in Capital Assets</w:t>
      </w:r>
    </w:p>
    <w:p w14:paraId="2CF36AB1" w14:textId="77777777" w:rsidR="00805B6E" w:rsidRPr="00805B6E" w:rsidRDefault="00805B6E" w:rsidP="00805B6E">
      <w:pPr>
        <w:jc w:val="both"/>
      </w:pPr>
    </w:p>
    <w:p w14:paraId="1150CFDC" w14:textId="77777777" w:rsidR="00805B6E" w:rsidRPr="00805B6E" w:rsidRDefault="00805B6E" w:rsidP="00805B6E">
      <w:pPr>
        <w:jc w:val="both"/>
      </w:pPr>
      <w:r w:rsidRPr="00805B6E">
        <w:t>Less: Restricted Net Position</w:t>
      </w:r>
    </w:p>
    <w:p w14:paraId="6442F04E" w14:textId="77777777" w:rsidR="00805B6E" w:rsidRPr="00805B6E" w:rsidRDefault="00805B6E" w:rsidP="00805B6E">
      <w:pPr>
        <w:jc w:val="both"/>
      </w:pPr>
    </w:p>
    <w:p w14:paraId="7709C1D1" w14:textId="77777777" w:rsidR="00805B6E" w:rsidRDefault="00805B6E" w:rsidP="00805B6E">
      <w:pPr>
        <w:jc w:val="both"/>
        <w:rPr>
          <w:rFonts w:ascii="Arial" w:hAnsi="Arial"/>
        </w:rPr>
      </w:pPr>
      <w:r w:rsidRPr="00805B6E">
        <w:t>Equals: Unrestricted Net Position</w:t>
      </w:r>
    </w:p>
    <w:p w14:paraId="338C240E" w14:textId="77777777" w:rsidR="0046530B" w:rsidRDefault="0046530B" w:rsidP="0046530B">
      <w:pPr>
        <w:rPr>
          <w:b/>
        </w:rPr>
      </w:pPr>
    </w:p>
    <w:p w14:paraId="224FFB2A" w14:textId="77777777" w:rsidR="006C7B21" w:rsidRDefault="006C7B21">
      <w:pPr>
        <w:spacing w:line="240" w:lineRule="exact"/>
        <w:rPr>
          <w:sz w:val="24"/>
        </w:rPr>
      </w:pPr>
    </w:p>
    <w:p w14:paraId="71633812" w14:textId="48169421" w:rsidR="0046530B" w:rsidRDefault="00A646C4" w:rsidP="0046530B">
      <w:pPr>
        <w:rPr>
          <w:b/>
          <w:sz w:val="32"/>
        </w:rPr>
      </w:pPr>
      <w:r w:rsidRPr="00934EE5">
        <w:rPr>
          <w:b/>
          <w:noProof/>
          <w:highlight w:val="darkGreen"/>
        </w:rPr>
        <w:drawing>
          <wp:inline distT="0" distB="0" distL="0" distR="0" wp14:anchorId="0819F1CD" wp14:editId="665DFA85">
            <wp:extent cx="3905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r w:rsidR="00934EE5">
        <w:rPr>
          <w:b/>
        </w:rPr>
        <w:t xml:space="preserve">  </w:t>
      </w:r>
      <w:r w:rsidR="0046530B">
        <w:rPr>
          <w:b/>
          <w:sz w:val="32"/>
        </w:rPr>
        <w:t xml:space="preserve">Community College Year-end </w:t>
      </w:r>
      <w:r w:rsidR="0091217F">
        <w:rPr>
          <w:b/>
          <w:sz w:val="32"/>
        </w:rPr>
        <w:t>ACFR</w:t>
      </w:r>
      <w:r w:rsidR="0046530B">
        <w:rPr>
          <w:b/>
          <w:sz w:val="32"/>
        </w:rPr>
        <w:t xml:space="preserve"> Package Review Checklist</w:t>
      </w:r>
    </w:p>
    <w:p w14:paraId="066B0520" w14:textId="77777777" w:rsidR="0046530B" w:rsidRDefault="0046530B" w:rsidP="0046530B">
      <w:pPr>
        <w:pStyle w:val="Heading2"/>
      </w:pPr>
    </w:p>
    <w:p w14:paraId="52B05665" w14:textId="32C122B5" w:rsidR="0046530B" w:rsidRDefault="0046530B" w:rsidP="0046530B">
      <w:pPr>
        <w:pStyle w:val="Heading2"/>
      </w:pPr>
      <w:r>
        <w:t>Prepare Exhibi</w:t>
      </w:r>
      <w:r w:rsidR="00DA01C4">
        <w:t xml:space="preserve">ts A &amp; B, </w:t>
      </w:r>
      <w:r>
        <w:t xml:space="preserve">Capital Assets worksheet, Long-term Liabilities worksheet, Analytical Review, and all other </w:t>
      </w:r>
      <w:r w:rsidR="0091217F">
        <w:t>ACFR</w:t>
      </w:r>
      <w:r>
        <w:t xml:space="preserve"> footnote worksheets in </w:t>
      </w:r>
      <w:r w:rsidR="00913BB6">
        <w:t xml:space="preserve">Year-End </w:t>
      </w:r>
      <w:r w:rsidR="0091217F">
        <w:t>ACFR</w:t>
      </w:r>
      <w:r w:rsidR="00913BB6">
        <w:t xml:space="preserve"> Package</w:t>
      </w:r>
      <w:r>
        <w:t xml:space="preserve"> file</w:t>
      </w:r>
      <w:r w:rsidR="00B97D16">
        <w:t>.</w:t>
      </w:r>
      <w:r>
        <w:t xml:space="preserve"> </w:t>
      </w:r>
    </w:p>
    <w:p w14:paraId="5060D8B1" w14:textId="39FC0F9D" w:rsidR="006B0D8D" w:rsidRPr="00913BB6" w:rsidRDefault="0046530B" w:rsidP="006B0D8D">
      <w:pPr>
        <w:numPr>
          <w:ilvl w:val="12"/>
          <w:numId w:val="0"/>
        </w:numPr>
        <w:ind w:left="360" w:hanging="360"/>
        <w:rPr>
          <w:b/>
          <w:u w:val="single"/>
        </w:rPr>
      </w:pPr>
      <w:r>
        <w:t>Exhibits A &amp; B are in balance with no error messages</w:t>
      </w:r>
      <w:r w:rsidR="00B97D16">
        <w:t>.</w:t>
      </w:r>
      <w:r>
        <w:t xml:space="preserve"> </w:t>
      </w:r>
      <w:r w:rsidR="006B0D8D">
        <w:rPr>
          <w:b/>
          <w:bCs/>
          <w:color w:val="FF0000"/>
          <w:sz w:val="22"/>
          <w:szCs w:val="22"/>
        </w:rPr>
        <w:t xml:space="preserve">State aid received from the Coronavirus Relief Fund and </w:t>
      </w:r>
      <w:r w:rsidR="00A96CC5">
        <w:rPr>
          <w:b/>
          <w:bCs/>
          <w:color w:val="FF0000"/>
          <w:sz w:val="22"/>
          <w:szCs w:val="22"/>
        </w:rPr>
        <w:t>F</w:t>
      </w:r>
      <w:r w:rsidR="006B0D8D">
        <w:rPr>
          <w:b/>
          <w:bCs/>
          <w:color w:val="FF0000"/>
          <w:sz w:val="22"/>
          <w:szCs w:val="22"/>
        </w:rPr>
        <w:t>ederal aid received f</w:t>
      </w:r>
      <w:r w:rsidR="005F5EC4">
        <w:rPr>
          <w:b/>
          <w:bCs/>
          <w:color w:val="FF0000"/>
          <w:sz w:val="22"/>
          <w:szCs w:val="22"/>
        </w:rPr>
        <w:t xml:space="preserve">or coronavirus relief including the </w:t>
      </w:r>
      <w:r w:rsidR="006B0D8D">
        <w:rPr>
          <w:b/>
          <w:bCs/>
          <w:color w:val="FF0000"/>
          <w:sz w:val="22"/>
          <w:szCs w:val="22"/>
        </w:rPr>
        <w:t xml:space="preserve">CARES Act should be reported separately on Exhibit B.  The lines on Exhibit B for reporting purposes are shown </w:t>
      </w:r>
      <w:r w:rsidR="00B97D16">
        <w:rPr>
          <w:b/>
          <w:bCs/>
          <w:color w:val="FF0000"/>
          <w:sz w:val="22"/>
          <w:szCs w:val="22"/>
        </w:rPr>
        <w:t xml:space="preserve">highlighted </w:t>
      </w:r>
      <w:r w:rsidR="006B0D8D">
        <w:rPr>
          <w:b/>
          <w:bCs/>
          <w:color w:val="FF0000"/>
          <w:sz w:val="22"/>
          <w:szCs w:val="22"/>
        </w:rPr>
        <w:t xml:space="preserve">in </w:t>
      </w:r>
      <w:r w:rsidR="006B0D8D" w:rsidRPr="00D638DA">
        <w:rPr>
          <w:b/>
          <w:bCs/>
          <w:color w:val="FFC000" w:themeColor="accent4"/>
          <w:sz w:val="22"/>
          <w:szCs w:val="22"/>
        </w:rPr>
        <w:t>GOLD</w:t>
      </w:r>
      <w:r w:rsidR="006B0D8D">
        <w:rPr>
          <w:b/>
          <w:bCs/>
          <w:color w:val="FF0000"/>
          <w:sz w:val="22"/>
          <w:szCs w:val="22"/>
        </w:rPr>
        <w:t>.</w:t>
      </w:r>
    </w:p>
    <w:p w14:paraId="61E7621A" w14:textId="7ACCEF2F" w:rsidR="0046530B" w:rsidRDefault="0046530B" w:rsidP="0046530B">
      <w:pPr>
        <w:numPr>
          <w:ilvl w:val="0"/>
          <w:numId w:val="4"/>
        </w:numPr>
      </w:pPr>
      <w:r>
        <w:t>Capital Assets worksheet is complete</w:t>
      </w:r>
      <w:r w:rsidR="00B97D16">
        <w:t>.</w:t>
      </w:r>
      <w:r>
        <w:t xml:space="preserve"> </w:t>
      </w:r>
    </w:p>
    <w:p w14:paraId="04AB6D25" w14:textId="3151EE73" w:rsidR="0046530B" w:rsidRDefault="0046530B" w:rsidP="0046530B">
      <w:pPr>
        <w:numPr>
          <w:ilvl w:val="0"/>
          <w:numId w:val="4"/>
        </w:numPr>
      </w:pPr>
      <w:r>
        <w:t>The Excel file is saved as the assigned</w:t>
      </w:r>
      <w:r w:rsidR="00852216">
        <w:t xml:space="preserve"> </w:t>
      </w:r>
      <w:r w:rsidR="0091217F">
        <w:t>ACFR</w:t>
      </w:r>
      <w:r>
        <w:t xml:space="preserve"> filename for the college listed in the instructions</w:t>
      </w:r>
      <w:r w:rsidR="005F21B3">
        <w:t xml:space="preserve"> with the .xlsx</w:t>
      </w:r>
      <w:r w:rsidR="00B97D16">
        <w:t>.</w:t>
      </w:r>
      <w:r>
        <w:t xml:space="preserve"> </w:t>
      </w:r>
    </w:p>
    <w:p w14:paraId="3F86D4EC" w14:textId="77777777" w:rsidR="0046530B" w:rsidRDefault="0046530B" w:rsidP="0046530B">
      <w:pPr>
        <w:rPr>
          <w:b/>
        </w:rPr>
      </w:pPr>
    </w:p>
    <w:p w14:paraId="32A32938" w14:textId="3245D493" w:rsidR="0046530B" w:rsidRDefault="0046530B" w:rsidP="0046530B">
      <w:r>
        <w:rPr>
          <w:b/>
        </w:rPr>
        <w:t xml:space="preserve">REVIEW FINANCIAL STATEMENTS and </w:t>
      </w:r>
      <w:r w:rsidR="0091217F">
        <w:rPr>
          <w:b/>
        </w:rPr>
        <w:t>ACFR</w:t>
      </w:r>
      <w:r>
        <w:rPr>
          <w:b/>
        </w:rPr>
        <w:t xml:space="preserve"> worksheets</w:t>
      </w:r>
    </w:p>
    <w:p w14:paraId="387107C3" w14:textId="77777777" w:rsidR="0046530B" w:rsidRDefault="0046530B" w:rsidP="0046530B">
      <w:pPr>
        <w:numPr>
          <w:ilvl w:val="0"/>
          <w:numId w:val="4"/>
        </w:numPr>
      </w:pPr>
      <w:r>
        <w:t xml:space="preserve">Statement of Net </w:t>
      </w:r>
      <w:r w:rsidR="001E4EAD">
        <w:t>Position</w:t>
      </w:r>
      <w:r>
        <w:t xml:space="preserve"> (Exhibit A) must be in balance (Total Assets – Total Liabilities = Total Net </w:t>
      </w:r>
      <w:r w:rsidR="001E4EAD">
        <w:t>Position</w:t>
      </w:r>
      <w:r>
        <w:t>)</w:t>
      </w:r>
    </w:p>
    <w:p w14:paraId="6EE91BCF" w14:textId="7EFF2D0F" w:rsidR="00CE64A1" w:rsidRPr="00CE64A1" w:rsidRDefault="0046530B" w:rsidP="00CE64A1">
      <w:pPr>
        <w:numPr>
          <w:ilvl w:val="0"/>
          <w:numId w:val="4"/>
        </w:numPr>
        <w:rPr>
          <w:b/>
          <w:bCs/>
          <w:color w:val="FF0000"/>
          <w:sz w:val="22"/>
          <w:szCs w:val="22"/>
        </w:rPr>
      </w:pPr>
      <w:r w:rsidRPr="004B78A2">
        <w:rPr>
          <w:u w:val="single"/>
        </w:rPr>
        <w:t>There should be no error messages on Exhibits A and B or anywhere in the workbook</w:t>
      </w:r>
      <w:r>
        <w:t>.</w:t>
      </w:r>
    </w:p>
    <w:p w14:paraId="027B77C5" w14:textId="77777777" w:rsidR="00F75124" w:rsidRDefault="00F75124" w:rsidP="006B0D8D">
      <w:pPr>
        <w:numPr>
          <w:ilvl w:val="12"/>
          <w:numId w:val="0"/>
        </w:numPr>
        <w:ind w:left="360" w:hanging="360"/>
        <w:rPr>
          <w:b/>
          <w:bCs/>
          <w:color w:val="FF0000"/>
          <w:sz w:val="22"/>
          <w:szCs w:val="22"/>
        </w:rPr>
      </w:pPr>
    </w:p>
    <w:p w14:paraId="176AF210" w14:textId="0D0E8E73" w:rsidR="00CE64A1" w:rsidRPr="00913BB6" w:rsidRDefault="00CE64A1" w:rsidP="006B0D8D">
      <w:pPr>
        <w:numPr>
          <w:ilvl w:val="12"/>
          <w:numId w:val="0"/>
        </w:numPr>
        <w:ind w:left="360" w:hanging="360"/>
        <w:rPr>
          <w:b/>
          <w:u w:val="single"/>
        </w:rPr>
      </w:pPr>
      <w:r w:rsidRPr="00913BB6">
        <w:rPr>
          <w:b/>
          <w:bCs/>
          <w:color w:val="FF0000"/>
          <w:sz w:val="22"/>
          <w:szCs w:val="22"/>
        </w:rPr>
        <w:t xml:space="preserve">The </w:t>
      </w:r>
      <w:r w:rsidR="00AC5490">
        <w:rPr>
          <w:b/>
          <w:bCs/>
          <w:color w:val="FF0000"/>
          <w:sz w:val="22"/>
          <w:szCs w:val="22"/>
        </w:rPr>
        <w:t>DASHBOARD</w:t>
      </w:r>
      <w:r w:rsidRPr="00913BB6">
        <w:rPr>
          <w:b/>
          <w:bCs/>
          <w:color w:val="FF0000"/>
          <w:sz w:val="22"/>
          <w:szCs w:val="22"/>
        </w:rPr>
        <w:t xml:space="preserve"> tab should contain all blue </w:t>
      </w:r>
      <w:r w:rsidRPr="00BD4E5E">
        <w:rPr>
          <w:b/>
          <w:bCs/>
          <w:color w:val="0000FF"/>
          <w:sz w:val="22"/>
          <w:szCs w:val="22"/>
        </w:rPr>
        <w:t>OK</w:t>
      </w:r>
      <w:r w:rsidRPr="00913BB6">
        <w:rPr>
          <w:b/>
          <w:bCs/>
          <w:color w:val="FF0000"/>
          <w:sz w:val="22"/>
          <w:szCs w:val="22"/>
        </w:rPr>
        <w:t xml:space="preserve"> designations.  OSC will not accept templates with any red ERROR messages.</w:t>
      </w:r>
    </w:p>
    <w:p w14:paraId="13B53681" w14:textId="77777777" w:rsidR="00CE64A1" w:rsidRDefault="00CE64A1" w:rsidP="0046530B">
      <w:pPr>
        <w:numPr>
          <w:ilvl w:val="12"/>
          <w:numId w:val="0"/>
        </w:numPr>
        <w:ind w:left="360" w:hanging="360"/>
        <w:rPr>
          <w:b/>
          <w:u w:val="single"/>
        </w:rPr>
      </w:pPr>
    </w:p>
    <w:p w14:paraId="45C40A3D" w14:textId="77777777" w:rsidR="00CE64A1" w:rsidRDefault="00CE64A1" w:rsidP="0046530B">
      <w:pPr>
        <w:numPr>
          <w:ilvl w:val="12"/>
          <w:numId w:val="0"/>
        </w:numPr>
        <w:ind w:left="360" w:hanging="360"/>
        <w:rPr>
          <w:b/>
          <w:u w:val="single"/>
        </w:rPr>
      </w:pPr>
    </w:p>
    <w:p w14:paraId="30087BCB" w14:textId="29F8B853" w:rsidR="0046530B" w:rsidRDefault="0046530B" w:rsidP="0046530B">
      <w:pPr>
        <w:numPr>
          <w:ilvl w:val="12"/>
          <w:numId w:val="0"/>
        </w:numPr>
        <w:ind w:left="360" w:hanging="360"/>
        <w:rPr>
          <w:b/>
          <w:u w:val="single"/>
        </w:rPr>
      </w:pPr>
      <w:r>
        <w:rPr>
          <w:b/>
          <w:u w:val="single"/>
        </w:rPr>
        <w:t>IMPORTANT:</w:t>
      </w:r>
    </w:p>
    <w:p w14:paraId="5081F94E" w14:textId="57C2DABF" w:rsidR="0046530B" w:rsidRDefault="0046530B" w:rsidP="0046530B">
      <w:pPr>
        <w:numPr>
          <w:ilvl w:val="0"/>
          <w:numId w:val="4"/>
        </w:numPr>
      </w:pPr>
      <w:r>
        <w:t xml:space="preserve">Beginning fund equity on Exhibit B </w:t>
      </w:r>
      <w:r>
        <w:rPr>
          <w:u w:val="single"/>
        </w:rPr>
        <w:t>must</w:t>
      </w:r>
      <w:r>
        <w:t xml:space="preserve"> equal the prior year ending fund equity in total for the college per the </w:t>
      </w:r>
      <w:r w:rsidR="001E4EAD">
        <w:t>prior year</w:t>
      </w:r>
      <w:r>
        <w:t xml:space="preserve"> </w:t>
      </w:r>
      <w:r w:rsidR="0091217F">
        <w:t>ACFR</w:t>
      </w:r>
      <w:r>
        <w:t xml:space="preserve">.  Any change must be reflected in the Restatement line. </w:t>
      </w:r>
      <w:r>
        <w:rPr>
          <w:b/>
        </w:rPr>
        <w:t xml:space="preserve">The college’s package will not be accepted by OSC if submitted with the beginning fund equity not agreeing to the prior year ending per </w:t>
      </w:r>
      <w:r w:rsidR="0091217F">
        <w:rPr>
          <w:b/>
        </w:rPr>
        <w:t>ACFR</w:t>
      </w:r>
      <w:r>
        <w:rPr>
          <w:b/>
        </w:rPr>
        <w:t>.</w:t>
      </w:r>
      <w:r>
        <w:t xml:space="preserve">  The ending fund equity per prior year </w:t>
      </w:r>
      <w:r w:rsidR="0091217F">
        <w:t>ACFR</w:t>
      </w:r>
      <w:r>
        <w:t xml:space="preserve"> has been provided in a table that will link in to the “Net </w:t>
      </w:r>
      <w:r w:rsidR="001E4EAD">
        <w:t>position</w:t>
      </w:r>
      <w:r>
        <w:t xml:space="preserve"> – beginning of year” cell on Exhibit B.  </w:t>
      </w:r>
    </w:p>
    <w:p w14:paraId="25460805" w14:textId="77777777" w:rsidR="0046530B" w:rsidRDefault="0046530B" w:rsidP="0046530B">
      <w:pPr>
        <w:numPr>
          <w:ilvl w:val="12"/>
          <w:numId w:val="0"/>
        </w:numPr>
        <w:ind w:left="360" w:hanging="360"/>
      </w:pPr>
    </w:p>
    <w:p w14:paraId="0AAE63C3" w14:textId="77777777" w:rsidR="0046530B" w:rsidRDefault="0046530B" w:rsidP="0046530B">
      <w:pPr>
        <w:numPr>
          <w:ilvl w:val="0"/>
          <w:numId w:val="4"/>
        </w:numPr>
      </w:pPr>
      <w:r>
        <w:t>Total fund equity on Exhibit A must equal the ending fund equity on Exhibit B.</w:t>
      </w:r>
    </w:p>
    <w:p w14:paraId="5F35EF4D" w14:textId="77777777" w:rsidR="0046530B" w:rsidRDefault="0046530B" w:rsidP="0046530B">
      <w:pPr>
        <w:numPr>
          <w:ilvl w:val="12"/>
          <w:numId w:val="0"/>
        </w:numPr>
        <w:ind w:left="360" w:hanging="360"/>
      </w:pPr>
    </w:p>
    <w:p w14:paraId="332A5768" w14:textId="77777777" w:rsidR="0046530B" w:rsidRDefault="0046530B" w:rsidP="0046530B">
      <w:pPr>
        <w:numPr>
          <w:ilvl w:val="0"/>
          <w:numId w:val="4"/>
        </w:numPr>
      </w:pPr>
      <w:r>
        <w:t xml:space="preserve">Due to and Due from accounts within the college should have been eliminated against the related revenues and expenses. </w:t>
      </w:r>
    </w:p>
    <w:p w14:paraId="7A6802F9" w14:textId="77777777" w:rsidR="0046530B" w:rsidRDefault="0046530B" w:rsidP="0046530B"/>
    <w:p w14:paraId="034714A1" w14:textId="0B0E561B" w:rsidR="0046530B" w:rsidRDefault="0046530B" w:rsidP="0046530B">
      <w:pPr>
        <w:numPr>
          <w:ilvl w:val="0"/>
          <w:numId w:val="4"/>
        </w:numPr>
      </w:pPr>
      <w:r>
        <w:t xml:space="preserve">The amount reported as </w:t>
      </w:r>
      <w:r>
        <w:rPr>
          <w:u w:val="single"/>
        </w:rPr>
        <w:t>Restricted due from Primary Government</w:t>
      </w:r>
      <w:r>
        <w:t xml:space="preserve"> on Exhibit A should represent the amount due from the System Office, including the Higher Ed bond money, for capital projects.  This amount has been determined by the NC Community College System office, and the college must confer and agree with the System Office on the amount before the package is submitted. </w:t>
      </w:r>
      <w:r>
        <w:rPr>
          <w:b/>
          <w:bCs/>
        </w:rPr>
        <w:t>Do not</w:t>
      </w:r>
      <w:r>
        <w:t xml:space="preserve"> report the Restricted Due from Primary government amount on any additional </w:t>
      </w:r>
      <w:r w:rsidR="0091217F">
        <w:t>ACFR</w:t>
      </w:r>
      <w:r>
        <w:t xml:space="preserve"> worksheet in the package. </w:t>
      </w:r>
    </w:p>
    <w:p w14:paraId="58EF15DD" w14:textId="77777777" w:rsidR="0046530B" w:rsidRDefault="0046530B" w:rsidP="0046530B">
      <w:pPr>
        <w:pStyle w:val="CommentText"/>
      </w:pPr>
    </w:p>
    <w:p w14:paraId="6726B406" w14:textId="304E9748" w:rsidR="0046530B" w:rsidRDefault="0046530B" w:rsidP="0046530B">
      <w:pPr>
        <w:numPr>
          <w:ilvl w:val="0"/>
          <w:numId w:val="4"/>
        </w:numPr>
      </w:pPr>
      <w:r>
        <w:t xml:space="preserve">There should not be any amounts reported as Due from Primary Government on Exhibit A unless the threshold amount of </w:t>
      </w:r>
      <w:r>
        <w:rPr>
          <w:b/>
        </w:rPr>
        <w:t>$1,000,000</w:t>
      </w:r>
      <w:r>
        <w:t xml:space="preserve"> is met. Amounts below the threshold should be classified for </w:t>
      </w:r>
      <w:r w:rsidR="0091217F">
        <w:t>ACFR</w:t>
      </w:r>
      <w:r>
        <w:t xml:space="preserve"> reporting as accounts receivable.  Only amounts of $1 million dollars or more need to be classified as “Due from Primary Government.”  </w:t>
      </w:r>
      <w:r w:rsidRPr="007C40E9">
        <w:rPr>
          <w:b/>
        </w:rPr>
        <w:t>N</w:t>
      </w:r>
      <w:r>
        <w:rPr>
          <w:b/>
        </w:rPr>
        <w:t>ote</w:t>
      </w:r>
      <w:r w:rsidRPr="007C40E9">
        <w:rPr>
          <w:b/>
        </w:rPr>
        <w:t>:</w:t>
      </w:r>
      <w:r>
        <w:t xml:space="preserve">  There is no longer a schedule of Due from Primary Government included in the </w:t>
      </w:r>
      <w:r w:rsidR="0091217F">
        <w:t>ACFR</w:t>
      </w:r>
      <w:r>
        <w:t xml:space="preserve"> package for community colleges.  If the college has an amount that meets the 1 million dollar threshold, OSC will contact the college for further information. </w:t>
      </w:r>
    </w:p>
    <w:p w14:paraId="52D53ADF" w14:textId="77777777" w:rsidR="0046530B" w:rsidRDefault="0046530B" w:rsidP="0046530B">
      <w:pPr>
        <w:numPr>
          <w:ilvl w:val="12"/>
          <w:numId w:val="0"/>
        </w:numPr>
        <w:ind w:left="360" w:hanging="360"/>
      </w:pPr>
    </w:p>
    <w:p w14:paraId="59405E0B" w14:textId="0EBDEA3F" w:rsidR="0046530B" w:rsidRDefault="0046530B" w:rsidP="0046530B">
      <w:pPr>
        <w:numPr>
          <w:ilvl w:val="0"/>
          <w:numId w:val="4"/>
        </w:numPr>
      </w:pPr>
      <w:r>
        <w:t xml:space="preserve">The amount reported as Due to Primary Government on Exhibit A should include any amounts (no threshold) owed to these funds:  Department of Administration Motor Fleet (Motor pool) ; State Computer Center (ITS); </w:t>
      </w:r>
      <w:r w:rsidR="00962BE8">
        <w:t xml:space="preserve">and </w:t>
      </w:r>
      <w:r>
        <w:t xml:space="preserve">State Telecommunications (Phone).  These amounts should be reported on the Schedule of Due to Primary Government. If there are any other amounts included in the Due to Primary Government caption on Exhibit A, the threshold amount of $1,000,000 must be met (see instructions below).  Except for amounts owed to the funds listed above, any amounts below the $1,000,000 threshold should not be reported in Due to Primary Government; these should be classified for </w:t>
      </w:r>
      <w:r w:rsidR="0091217F">
        <w:t>ACFR</w:t>
      </w:r>
      <w:r>
        <w:t xml:space="preserve"> reporting as accounts payable. The total per the schedule of Due to Primary Government must tie to Exhibit</w:t>
      </w:r>
      <w:r w:rsidR="00BD4E5E">
        <w:t xml:space="preserve"> </w:t>
      </w:r>
      <w:r>
        <w:t>A.</w:t>
      </w:r>
    </w:p>
    <w:p w14:paraId="1564AE74" w14:textId="77777777" w:rsidR="0046530B" w:rsidRDefault="0046530B" w:rsidP="0046530B"/>
    <w:p w14:paraId="5285658A" w14:textId="77777777" w:rsidR="0046530B" w:rsidRDefault="0046530B" w:rsidP="0046530B">
      <w:pPr>
        <w:numPr>
          <w:ilvl w:val="0"/>
          <w:numId w:val="4"/>
        </w:numPr>
      </w:pPr>
      <w:r>
        <w:t>Mandatory and nonmandatory transfers should have been eliminated against each other.</w:t>
      </w:r>
    </w:p>
    <w:p w14:paraId="290A959F" w14:textId="77777777" w:rsidR="00BD4E5E" w:rsidRDefault="00BD4E5E" w:rsidP="0046530B">
      <w:pPr>
        <w:numPr>
          <w:ilvl w:val="12"/>
          <w:numId w:val="0"/>
        </w:numPr>
      </w:pPr>
    </w:p>
    <w:p w14:paraId="155DB01A" w14:textId="4116F6E5" w:rsidR="0046530B" w:rsidRDefault="0046530B" w:rsidP="0046530B">
      <w:pPr>
        <w:numPr>
          <w:ilvl w:val="12"/>
          <w:numId w:val="0"/>
        </w:numPr>
      </w:pPr>
      <w:r>
        <w:t>ACCOUNT CLASSIFICATIONS</w:t>
      </w:r>
    </w:p>
    <w:p w14:paraId="46398BD8" w14:textId="77777777" w:rsidR="0046530B" w:rsidRDefault="0046530B" w:rsidP="0046530B">
      <w:pPr>
        <w:numPr>
          <w:ilvl w:val="0"/>
          <w:numId w:val="4"/>
        </w:numPr>
      </w:pPr>
      <w:r>
        <w:t xml:space="preserve">Check for reasonableness (account balances are normal) and </w:t>
      </w:r>
      <w:r>
        <w:rPr>
          <w:b/>
        </w:rPr>
        <w:t>proper classifications</w:t>
      </w:r>
      <w:r>
        <w:t xml:space="preserve"> of accounts. </w:t>
      </w:r>
    </w:p>
    <w:p w14:paraId="28B6B25D" w14:textId="77777777" w:rsidR="0046530B" w:rsidRDefault="0046530B" w:rsidP="0046530B">
      <w:pPr>
        <w:numPr>
          <w:ilvl w:val="12"/>
          <w:numId w:val="0"/>
        </w:numPr>
      </w:pPr>
    </w:p>
    <w:p w14:paraId="03E56BE9" w14:textId="77777777" w:rsidR="0046530B" w:rsidRDefault="0046530B" w:rsidP="0046530B">
      <w:pPr>
        <w:numPr>
          <w:ilvl w:val="12"/>
          <w:numId w:val="0"/>
        </w:numPr>
      </w:pPr>
      <w:r>
        <w:t>FINAL REVIEW:</w:t>
      </w:r>
    </w:p>
    <w:p w14:paraId="6FFBAF6B" w14:textId="320103DD" w:rsidR="00F26C73" w:rsidRPr="00F26C73" w:rsidRDefault="0046530B" w:rsidP="0046530B">
      <w:pPr>
        <w:numPr>
          <w:ilvl w:val="0"/>
          <w:numId w:val="4"/>
        </w:numPr>
        <w:rPr>
          <w:b/>
        </w:rPr>
      </w:pPr>
      <w:r>
        <w:t xml:space="preserve">Letter of certification has been prepared and signed by both the chief executive officer and chief financial officer and electronically submitted to the OSC by </w:t>
      </w:r>
      <w:r w:rsidRPr="00864CE7">
        <w:rPr>
          <w:b/>
          <w:color w:val="660066"/>
        </w:rPr>
        <w:t xml:space="preserve">August </w:t>
      </w:r>
      <w:r w:rsidR="00934EE5">
        <w:rPr>
          <w:b/>
          <w:color w:val="660066"/>
        </w:rPr>
        <w:t>2</w:t>
      </w:r>
      <w:r w:rsidR="000E0E1F">
        <w:rPr>
          <w:b/>
          <w:color w:val="660066"/>
        </w:rPr>
        <w:t>6</w:t>
      </w:r>
      <w:r w:rsidRPr="00864CE7">
        <w:rPr>
          <w:b/>
          <w:color w:val="660066"/>
        </w:rPr>
        <w:t xml:space="preserve">, </w:t>
      </w:r>
      <w:r w:rsidR="003F6902">
        <w:rPr>
          <w:b/>
          <w:color w:val="660066"/>
        </w:rPr>
        <w:t>20</w:t>
      </w:r>
      <w:r w:rsidR="00913BB6">
        <w:rPr>
          <w:b/>
          <w:color w:val="660066"/>
        </w:rPr>
        <w:t>2</w:t>
      </w:r>
      <w:r w:rsidR="00F26C73">
        <w:rPr>
          <w:b/>
          <w:color w:val="660066"/>
        </w:rPr>
        <w:t>2</w:t>
      </w:r>
    </w:p>
    <w:p w14:paraId="1369801F" w14:textId="3070BC7C" w:rsidR="0046530B" w:rsidRPr="001D21B9" w:rsidRDefault="0046530B" w:rsidP="0046530B">
      <w:pPr>
        <w:numPr>
          <w:ilvl w:val="0"/>
          <w:numId w:val="4"/>
        </w:numPr>
        <w:rPr>
          <w:rStyle w:val="Hyperlink"/>
          <w:b/>
          <w:color w:val="auto"/>
          <w:u w:val="none"/>
        </w:rPr>
      </w:pPr>
      <w:r>
        <w:lastRenderedPageBreak/>
        <w:t xml:space="preserve">. Send to the </w:t>
      </w:r>
      <w:hyperlink r:id="rId11" w:history="1">
        <w:r w:rsidR="00852216">
          <w:rPr>
            <w:rStyle w:val="Hyperlink"/>
          </w:rPr>
          <w:t>OSC Year-End Financial Reporting Packages SharePoint site</w:t>
        </w:r>
      </w:hyperlink>
      <w:r w:rsidR="0018782B">
        <w:t>.</w:t>
      </w:r>
      <w:r>
        <w:rPr>
          <w:rStyle w:val="Hyperlink"/>
          <w:u w:val="none"/>
        </w:rPr>
        <w:t xml:space="preserve"> </w:t>
      </w:r>
    </w:p>
    <w:p w14:paraId="749F2EB2" w14:textId="77777777" w:rsidR="001D21B9" w:rsidRPr="00363C7B" w:rsidRDefault="001D21B9" w:rsidP="001D21B9">
      <w:pPr>
        <w:ind w:left="360"/>
        <w:rPr>
          <w:b/>
        </w:rPr>
      </w:pPr>
    </w:p>
    <w:p w14:paraId="5164DAC3" w14:textId="0D5A8782" w:rsidR="0046530B" w:rsidRPr="001D21B9" w:rsidRDefault="00FD6A22" w:rsidP="0046530B">
      <w:pPr>
        <w:numPr>
          <w:ilvl w:val="0"/>
          <w:numId w:val="4"/>
        </w:numPr>
        <w:rPr>
          <w:rStyle w:val="Hyperlink"/>
          <w:b/>
          <w:color w:val="auto"/>
          <w:u w:val="none"/>
        </w:rPr>
      </w:pPr>
      <w:r>
        <w:t xml:space="preserve">The </w:t>
      </w:r>
      <w:r w:rsidR="0091217F">
        <w:t>ACFR</w:t>
      </w:r>
      <w:r>
        <w:t xml:space="preserve"> package </w:t>
      </w:r>
      <w:r w:rsidR="00DA01C4">
        <w:t xml:space="preserve">has been e-mailed by </w:t>
      </w:r>
      <w:r w:rsidR="00934EE5" w:rsidRPr="00E4197C">
        <w:rPr>
          <w:b/>
          <w:color w:val="660066"/>
        </w:rPr>
        <w:t>August 2</w:t>
      </w:r>
      <w:r w:rsidR="000E0E1F">
        <w:rPr>
          <w:b/>
          <w:color w:val="660066"/>
        </w:rPr>
        <w:t>6</w:t>
      </w:r>
      <w:r w:rsidR="0046530B" w:rsidRPr="00E4197C">
        <w:rPr>
          <w:b/>
          <w:color w:val="660066"/>
        </w:rPr>
        <w:t xml:space="preserve">, </w:t>
      </w:r>
      <w:r w:rsidR="003F6902" w:rsidRPr="00E4197C">
        <w:rPr>
          <w:b/>
          <w:color w:val="660066"/>
        </w:rPr>
        <w:t>20</w:t>
      </w:r>
      <w:r w:rsidR="00913BB6" w:rsidRPr="00E4197C">
        <w:rPr>
          <w:b/>
          <w:color w:val="660066"/>
        </w:rPr>
        <w:t>2</w:t>
      </w:r>
      <w:r w:rsidR="00F26C73">
        <w:rPr>
          <w:b/>
          <w:color w:val="660066"/>
        </w:rPr>
        <w:t>2</w:t>
      </w:r>
      <w:r w:rsidR="0046530B">
        <w:rPr>
          <w:b/>
          <w:color w:val="660066"/>
        </w:rPr>
        <w:t xml:space="preserve"> </w:t>
      </w:r>
      <w:r w:rsidR="0046530B">
        <w:t xml:space="preserve">to the </w:t>
      </w:r>
      <w:hyperlink r:id="rId12" w:history="1">
        <w:r w:rsidR="00852216">
          <w:rPr>
            <w:rStyle w:val="Hyperlink"/>
          </w:rPr>
          <w:t>OSC Year-End Financial Reporting Packages SharePoint site</w:t>
        </w:r>
      </w:hyperlink>
      <w:r w:rsidR="0018782B">
        <w:t xml:space="preserve">.  </w:t>
      </w:r>
      <w:r w:rsidR="0046530B">
        <w:rPr>
          <w:rStyle w:val="Hyperlink"/>
          <w:u w:val="none"/>
        </w:rPr>
        <w:t xml:space="preserve"> </w:t>
      </w:r>
      <w:r w:rsidRPr="00FD6A22">
        <w:rPr>
          <w:rStyle w:val="Hyperlink"/>
          <w:b/>
          <w:u w:val="none"/>
        </w:rPr>
        <w:t xml:space="preserve">Earlier submission is strongly encouraged! </w:t>
      </w:r>
    </w:p>
    <w:p w14:paraId="3FF49FBB" w14:textId="77777777" w:rsidR="001D21B9" w:rsidRPr="00FD6A22" w:rsidRDefault="001D21B9" w:rsidP="001D21B9">
      <w:pPr>
        <w:ind w:left="360"/>
        <w:rPr>
          <w:rStyle w:val="Hyperlink"/>
          <w:b/>
          <w:color w:val="auto"/>
          <w:u w:val="none"/>
        </w:rPr>
      </w:pPr>
    </w:p>
    <w:p w14:paraId="252938D8" w14:textId="3C743E74" w:rsidR="0046530B" w:rsidRPr="001D21B9" w:rsidRDefault="0046530B" w:rsidP="0046530B">
      <w:pPr>
        <w:numPr>
          <w:ilvl w:val="0"/>
          <w:numId w:val="4"/>
        </w:numPr>
        <w:rPr>
          <w:b/>
        </w:rPr>
      </w:pPr>
      <w:r>
        <w:t>Full college name is included in the subject line for the e-mail to the OSC.</w:t>
      </w:r>
    </w:p>
    <w:p w14:paraId="7B17A194" w14:textId="77777777" w:rsidR="001D21B9" w:rsidRDefault="001D21B9" w:rsidP="001D21B9">
      <w:pPr>
        <w:pStyle w:val="ListParagraph"/>
        <w:rPr>
          <w:b/>
        </w:rPr>
      </w:pPr>
    </w:p>
    <w:p w14:paraId="39766D51" w14:textId="74145749" w:rsidR="0046530B" w:rsidRDefault="0046530B" w:rsidP="0046530B">
      <w:pPr>
        <w:numPr>
          <w:ilvl w:val="0"/>
          <w:numId w:val="4"/>
        </w:numPr>
      </w:pPr>
      <w:r>
        <w:t xml:space="preserve">The Statement of Cash Flows should NOT be submitted with your </w:t>
      </w:r>
      <w:r w:rsidR="0091217F">
        <w:t>ACFR</w:t>
      </w:r>
      <w:r w:rsidR="00852216">
        <w:t xml:space="preserve"> </w:t>
      </w:r>
      <w:r>
        <w:t xml:space="preserve">package; </w:t>
      </w:r>
      <w:r w:rsidR="007C26BF">
        <w:t>however,</w:t>
      </w:r>
      <w:r>
        <w:t xml:space="preserve"> you are required to disclose in the letter of certification that the college’s formal financial statements including the statement of cash flows using the direct method, as well as the formal notes and the formal management’s discussion and analysis will be prepared and available for the </w:t>
      </w:r>
      <w:r w:rsidR="00A801FE">
        <w:t>auditor</w:t>
      </w:r>
      <w:r>
        <w:t xml:space="preserve"> by </w:t>
      </w:r>
      <w:r w:rsidR="00DA01C4" w:rsidRPr="00214C2A">
        <w:rPr>
          <w:b/>
          <w:color w:val="660066"/>
        </w:rPr>
        <w:t xml:space="preserve">September </w:t>
      </w:r>
      <w:r w:rsidR="00C7672B">
        <w:rPr>
          <w:b/>
          <w:color w:val="660066"/>
        </w:rPr>
        <w:t>21</w:t>
      </w:r>
      <w:r w:rsidRPr="00214C2A">
        <w:rPr>
          <w:b/>
          <w:color w:val="660066"/>
        </w:rPr>
        <w:t xml:space="preserve">, </w:t>
      </w:r>
      <w:r w:rsidR="00A95BB4" w:rsidRPr="00214C2A">
        <w:rPr>
          <w:b/>
          <w:color w:val="660066"/>
        </w:rPr>
        <w:t>20</w:t>
      </w:r>
      <w:r w:rsidR="00E70ADA" w:rsidRPr="00214C2A">
        <w:rPr>
          <w:b/>
          <w:color w:val="660066"/>
        </w:rPr>
        <w:t>2</w:t>
      </w:r>
      <w:r w:rsidR="00F26C73">
        <w:rPr>
          <w:b/>
          <w:color w:val="660066"/>
        </w:rPr>
        <w:t>2</w:t>
      </w:r>
      <w:r>
        <w:t>.  Colleges should NOT submit their formal financial statements and notes to the OSC.</w:t>
      </w:r>
    </w:p>
    <w:p w14:paraId="0F4C94C5" w14:textId="77777777" w:rsidR="0046530B" w:rsidRDefault="0046530B" w:rsidP="0046530B"/>
    <w:p w14:paraId="07F402F7" w14:textId="5B1BA468" w:rsidR="005D6DFB" w:rsidRDefault="0046530B" w:rsidP="005D6DFB">
      <w:pPr>
        <w:numPr>
          <w:ilvl w:val="0"/>
          <w:numId w:val="4"/>
        </w:numPr>
      </w:pPr>
      <w:r>
        <w:rPr>
          <w:b/>
          <w:bCs/>
        </w:rPr>
        <w:t xml:space="preserve">Colleges that have Foundations that are not blended but meet the criteria for reporting as a discretely presented component unit of the college must submit the Foundation </w:t>
      </w:r>
      <w:r w:rsidR="004A13F6">
        <w:rPr>
          <w:b/>
          <w:bCs/>
        </w:rPr>
        <w:t>C</w:t>
      </w:r>
      <w:r>
        <w:rPr>
          <w:b/>
          <w:bCs/>
        </w:rPr>
        <w:t xml:space="preserve">onversion </w:t>
      </w:r>
      <w:r w:rsidR="004A13F6">
        <w:rPr>
          <w:b/>
          <w:bCs/>
        </w:rPr>
        <w:t>T</w:t>
      </w:r>
      <w:r>
        <w:rPr>
          <w:b/>
          <w:bCs/>
        </w:rPr>
        <w:t xml:space="preserve">emplate to OSC  by </w:t>
      </w:r>
      <w:r w:rsidR="00970690" w:rsidRPr="00214C2A">
        <w:rPr>
          <w:b/>
          <w:bCs/>
          <w:color w:val="660066"/>
        </w:rPr>
        <w:t>September 1</w:t>
      </w:r>
      <w:r w:rsidR="00122E0A">
        <w:rPr>
          <w:b/>
          <w:bCs/>
          <w:color w:val="660066"/>
        </w:rPr>
        <w:t>2</w:t>
      </w:r>
      <w:r w:rsidRPr="00214C2A">
        <w:rPr>
          <w:b/>
          <w:bCs/>
          <w:color w:val="660066"/>
        </w:rPr>
        <w:t xml:space="preserve">, </w:t>
      </w:r>
      <w:r w:rsidR="00A95BB4" w:rsidRPr="00214C2A">
        <w:rPr>
          <w:b/>
          <w:bCs/>
          <w:color w:val="660066"/>
        </w:rPr>
        <w:t>20</w:t>
      </w:r>
      <w:r w:rsidR="00994BDD" w:rsidRPr="00214C2A">
        <w:rPr>
          <w:b/>
          <w:bCs/>
          <w:color w:val="660066"/>
        </w:rPr>
        <w:t>2</w:t>
      </w:r>
      <w:r w:rsidR="00F26C73">
        <w:rPr>
          <w:b/>
          <w:bCs/>
          <w:color w:val="660066"/>
        </w:rPr>
        <w:t>2</w:t>
      </w:r>
      <w:r>
        <w:rPr>
          <w:b/>
          <w:bCs/>
        </w:rPr>
        <w:t xml:space="preserve">.  </w:t>
      </w:r>
      <w:r>
        <w:t xml:space="preserve">Send to the </w:t>
      </w:r>
      <w:hyperlink r:id="rId13" w:history="1">
        <w:r w:rsidR="00852216">
          <w:rPr>
            <w:rStyle w:val="Hyperlink"/>
          </w:rPr>
          <w:t>OSC Year-End Financial Reporting Packages SharePoint site</w:t>
        </w:r>
      </w:hyperlink>
      <w:r w:rsidR="005D6DFB">
        <w:t>.</w:t>
      </w:r>
    </w:p>
    <w:p w14:paraId="37227674" w14:textId="77777777" w:rsidR="0046530B" w:rsidRDefault="005D6DFB" w:rsidP="005D6DFB">
      <w:pPr>
        <w:ind w:left="360"/>
      </w:pPr>
      <w:r>
        <w:t xml:space="preserve"> </w:t>
      </w:r>
    </w:p>
    <w:p w14:paraId="402706E0" w14:textId="26462F51" w:rsidR="0046530B" w:rsidRDefault="0046530B" w:rsidP="0046530B">
      <w:r>
        <w:rPr>
          <w:b/>
        </w:rPr>
        <w:t>QUESTIONS?</w:t>
      </w:r>
      <w:r w:rsidR="00CD0D64">
        <w:t xml:space="preserve">  Please </w:t>
      </w:r>
      <w:r w:rsidR="004A13F6">
        <w:t xml:space="preserve">call </w:t>
      </w:r>
      <w:r w:rsidR="008B7913">
        <w:t>Jo</w:t>
      </w:r>
      <w:r w:rsidR="00F26C73">
        <w:t>hn</w:t>
      </w:r>
      <w:r w:rsidR="008B7913">
        <w:t xml:space="preserve"> </w:t>
      </w:r>
      <w:r w:rsidR="00F26C73">
        <w:t>Krellner</w:t>
      </w:r>
      <w:r w:rsidR="00CD0D64">
        <w:t xml:space="preserve"> at (919) </w:t>
      </w:r>
      <w:r w:rsidR="00970690">
        <w:t>707-0</w:t>
      </w:r>
      <w:r w:rsidR="00F26C73">
        <w:t>474</w:t>
      </w:r>
      <w:r w:rsidR="004A13F6">
        <w:t xml:space="preserve"> e-mail </w:t>
      </w:r>
      <w:hyperlink r:id="rId14" w:history="1">
        <w:r w:rsidR="00F26C73" w:rsidRPr="00B84A71">
          <w:rPr>
            <w:rStyle w:val="Hyperlink"/>
          </w:rPr>
          <w:t>john.krellner@osc.nc.gov</w:t>
        </w:r>
      </w:hyperlink>
      <w:r w:rsidR="00AC5490">
        <w:rPr>
          <w:rStyle w:val="Hyperlink"/>
          <w:color w:val="auto"/>
          <w:u w:val="none"/>
        </w:rPr>
        <w:t xml:space="preserve">. </w:t>
      </w:r>
      <w:r>
        <w:t xml:space="preserve"> </w:t>
      </w:r>
      <w:r w:rsidRPr="001D21B9">
        <w:rPr>
          <w:b/>
          <w:sz w:val="24"/>
        </w:rPr>
        <w:t>THANK YOU</w:t>
      </w:r>
      <w:r>
        <w:rPr>
          <w:b/>
          <w:sz w:val="24"/>
        </w:rPr>
        <w:t>!</w:t>
      </w:r>
    </w:p>
    <w:p w14:paraId="343F84D6" w14:textId="77777777" w:rsidR="0046530B" w:rsidRDefault="0046530B" w:rsidP="0046530B">
      <w:pPr>
        <w:pStyle w:val="Title"/>
      </w:pPr>
    </w:p>
    <w:p w14:paraId="03D7C7D5" w14:textId="68F2CD10" w:rsidR="00F93F7B" w:rsidRDefault="00F93F7B" w:rsidP="0046530B">
      <w:pPr>
        <w:spacing w:before="100" w:beforeAutospacing="1" w:after="100" w:afterAutospacing="1"/>
        <w:rPr>
          <w:rFonts w:ascii="Arial" w:hAnsi="Arial" w:cs="Arial"/>
        </w:rPr>
      </w:pPr>
    </w:p>
    <w:sectPr w:rsidR="00F93F7B">
      <w:headerReference w:type="even" r:id="rId15"/>
      <w:headerReference w:type="default" r:id="rId16"/>
      <w:footerReference w:type="even" r:id="rId17"/>
      <w:footerReference w:type="default" r:id="rId18"/>
      <w:headerReference w:type="first" r:id="rId19"/>
      <w:footerReference w:type="first" r:id="rId20"/>
      <w:pgSz w:w="12240" w:h="15840"/>
      <w:pgMar w:top="360" w:right="1267" w:bottom="1080" w:left="11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8B4C" w14:textId="77777777" w:rsidR="00B50A20" w:rsidRDefault="00B50A20">
      <w:r>
        <w:separator/>
      </w:r>
    </w:p>
  </w:endnote>
  <w:endnote w:type="continuationSeparator" w:id="0">
    <w:p w14:paraId="009480C5" w14:textId="77777777" w:rsidR="00B50A20" w:rsidRDefault="00B5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8942" w14:textId="77777777" w:rsidR="00B50A20" w:rsidRDefault="00B50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8435" w14:textId="3742E6DA" w:rsidR="00B50A20" w:rsidRDefault="00B50A20">
    <w:pPr>
      <w:pStyle w:val="Footer"/>
    </w:pPr>
    <w:r>
      <w:rPr>
        <w:rStyle w:val="PageNumber"/>
      </w:rPr>
      <w:fldChar w:fldCharType="begin"/>
    </w:r>
    <w:r>
      <w:rPr>
        <w:rStyle w:val="PageNumber"/>
      </w:rPr>
      <w:instrText xml:space="preserve"> DATE \@ "MM/dd/yy" </w:instrText>
    </w:r>
    <w:r>
      <w:rPr>
        <w:rStyle w:val="PageNumber"/>
      </w:rPr>
      <w:fldChar w:fldCharType="separate"/>
    </w:r>
    <w:r w:rsidR="00745438">
      <w:rPr>
        <w:rStyle w:val="PageNumber"/>
        <w:noProof/>
      </w:rPr>
      <w:t>05/26/22</w:t>
    </w:r>
    <w:r>
      <w:rPr>
        <w:rStyle w:val="PageNumber"/>
      </w:rPr>
      <w:fldChar w:fldCharType="end"/>
    </w:r>
    <w:r>
      <w:rPr>
        <w:rStyle w:val="PageNumber"/>
      </w:rPr>
      <w:t xml:space="preserve"> </w:t>
    </w:r>
    <w:r>
      <w:rPr>
        <w:rStyle w:val="PageNumber"/>
      </w:rPr>
      <w:fldChar w:fldCharType="begin"/>
    </w:r>
    <w:r>
      <w:rPr>
        <w:rStyle w:val="PageNumber"/>
      </w:rPr>
      <w:instrText xml:space="preserve"> TIME \@ "h:mm AM/PM" </w:instrText>
    </w:r>
    <w:r>
      <w:rPr>
        <w:rStyle w:val="PageNumber"/>
      </w:rPr>
      <w:fldChar w:fldCharType="separate"/>
    </w:r>
    <w:r w:rsidR="00745438">
      <w:rPr>
        <w:rStyle w:val="PageNumber"/>
        <w:noProof/>
      </w:rPr>
      <w:t>4:01 PM</w:t>
    </w:r>
    <w:r>
      <w:rPr>
        <w:rStyle w:val="PageNumber"/>
      </w:rPr>
      <w:fldChar w:fldCharType="end"/>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ab/>
    </w:r>
    <w:r w:rsidRPr="008B3B02">
      <w:rPr>
        <w:rStyle w:val="PageNumber"/>
      </w:rPr>
      <w:fldChar w:fldCharType="begin"/>
    </w:r>
    <w:r w:rsidRPr="008B3B02">
      <w:rPr>
        <w:rStyle w:val="PageNumber"/>
      </w:rPr>
      <w:instrText xml:space="preserve"> FILENAME </w:instrText>
    </w:r>
    <w:r w:rsidRPr="008B3B02">
      <w:rPr>
        <w:rStyle w:val="PageNumber"/>
      </w:rPr>
      <w:fldChar w:fldCharType="separate"/>
    </w:r>
    <w:r>
      <w:rPr>
        <w:rStyle w:val="PageNumber"/>
        <w:noProof/>
      </w:rPr>
      <w:t>202</w:t>
    </w:r>
    <w:r w:rsidR="007530B1">
      <w:rPr>
        <w:rStyle w:val="PageNumber"/>
        <w:noProof/>
      </w:rPr>
      <w:t>2</w:t>
    </w:r>
    <w:r>
      <w:rPr>
        <w:rStyle w:val="PageNumber"/>
        <w:noProof/>
      </w:rPr>
      <w:t>COLLinstructions</w:t>
    </w:r>
    <w:r w:rsidRPr="008B3B02">
      <w:rPr>
        <w:rStyle w:val="PageNumber"/>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A10A" w14:textId="77777777" w:rsidR="00B50A20" w:rsidRDefault="00B50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1A60" w14:textId="77777777" w:rsidR="00B50A20" w:rsidRDefault="00B50A20">
      <w:r>
        <w:separator/>
      </w:r>
    </w:p>
  </w:footnote>
  <w:footnote w:type="continuationSeparator" w:id="0">
    <w:p w14:paraId="6D47FCD5" w14:textId="77777777" w:rsidR="00B50A20" w:rsidRDefault="00B50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AB3D" w14:textId="77777777" w:rsidR="00B50A20" w:rsidRDefault="00B50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518D" w14:textId="77777777" w:rsidR="00B50A20" w:rsidRDefault="00B50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926B" w14:textId="77777777" w:rsidR="00B50A20" w:rsidRDefault="00B50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8.4pt;height:6.6pt" o:bullet="t">
        <v:imagedata r:id="rId1" o:title="arrow"/>
      </v:shape>
    </w:pict>
  </w:numPicBullet>
  <w:numPicBullet w:numPicBulletId="1">
    <w:pict>
      <v:shape id="_x0000_i1228" type="#_x0000_t75" style="width:3in;height:3in" o:bullet="t"/>
    </w:pict>
  </w:numPicBullet>
  <w:numPicBullet w:numPicBulletId="2">
    <w:pict>
      <v:shape id="_x0000_i1229" type="#_x0000_t75" style="width:3in;height:3in" o:bullet="t"/>
    </w:pict>
  </w:numPicBullet>
  <w:abstractNum w:abstractNumId="0" w15:restartNumberingAfterBreak="0">
    <w:nsid w:val="FFFFFFFE"/>
    <w:multiLevelType w:val="singleLevel"/>
    <w:tmpl w:val="9D96298C"/>
    <w:lvl w:ilvl="0">
      <w:numFmt w:val="decimal"/>
      <w:lvlText w:val="*"/>
      <w:lvlJc w:val="left"/>
    </w:lvl>
  </w:abstractNum>
  <w:abstractNum w:abstractNumId="1" w15:restartNumberingAfterBreak="0">
    <w:nsid w:val="015F368A"/>
    <w:multiLevelType w:val="singleLevel"/>
    <w:tmpl w:val="EE62B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DC2BA8"/>
    <w:multiLevelType w:val="hybridMultilevel"/>
    <w:tmpl w:val="FA400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B52CDB"/>
    <w:multiLevelType w:val="multilevel"/>
    <w:tmpl w:val="0FD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C2610"/>
    <w:multiLevelType w:val="multilevel"/>
    <w:tmpl w:val="C5FAC0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FB4DA4"/>
    <w:multiLevelType w:val="singleLevel"/>
    <w:tmpl w:val="A7C6FB4C"/>
    <w:lvl w:ilvl="0">
      <w:start w:val="3"/>
      <w:numFmt w:val="decimal"/>
      <w:lvlText w:val="(%1)"/>
      <w:lvlJc w:val="left"/>
      <w:pPr>
        <w:tabs>
          <w:tab w:val="num" w:pos="435"/>
        </w:tabs>
        <w:ind w:left="435" w:hanging="435"/>
      </w:pPr>
      <w:rPr>
        <w:rFonts w:hint="default"/>
      </w:rPr>
    </w:lvl>
  </w:abstractNum>
  <w:abstractNum w:abstractNumId="6" w15:restartNumberingAfterBreak="0">
    <w:nsid w:val="0FBD6B1E"/>
    <w:multiLevelType w:val="singleLevel"/>
    <w:tmpl w:val="7996D638"/>
    <w:lvl w:ilvl="0">
      <w:start w:val="480"/>
      <w:numFmt w:val="decimal"/>
      <w:lvlText w:val="%1"/>
      <w:lvlJc w:val="left"/>
      <w:pPr>
        <w:tabs>
          <w:tab w:val="num" w:pos="720"/>
        </w:tabs>
        <w:ind w:left="720" w:hanging="720"/>
      </w:pPr>
      <w:rPr>
        <w:rFonts w:hint="default"/>
      </w:rPr>
    </w:lvl>
  </w:abstractNum>
  <w:abstractNum w:abstractNumId="7" w15:restartNumberingAfterBreak="0">
    <w:nsid w:val="1C4A0419"/>
    <w:multiLevelType w:val="singleLevel"/>
    <w:tmpl w:val="5174294A"/>
    <w:lvl w:ilvl="0">
      <w:start w:val="1"/>
      <w:numFmt w:val="decimal"/>
      <w:lvlText w:val="%1."/>
      <w:lvlJc w:val="left"/>
      <w:pPr>
        <w:tabs>
          <w:tab w:val="num" w:pos="360"/>
        </w:tabs>
        <w:ind w:left="360" w:hanging="360"/>
      </w:pPr>
      <w:rPr>
        <w:b w:val="0"/>
        <w:bCs/>
      </w:rPr>
    </w:lvl>
  </w:abstractNum>
  <w:abstractNum w:abstractNumId="8" w15:restartNumberingAfterBreak="0">
    <w:nsid w:val="1E9B61FD"/>
    <w:multiLevelType w:val="singleLevel"/>
    <w:tmpl w:val="CF06D036"/>
    <w:lvl w:ilvl="0">
      <w:start w:val="48"/>
      <w:numFmt w:val="decimal"/>
      <w:lvlText w:val="%1"/>
      <w:lvlJc w:val="left"/>
      <w:pPr>
        <w:tabs>
          <w:tab w:val="num" w:pos="360"/>
        </w:tabs>
        <w:ind w:left="360" w:hanging="360"/>
      </w:pPr>
      <w:rPr>
        <w:rFonts w:hint="default"/>
      </w:rPr>
    </w:lvl>
  </w:abstractNum>
  <w:abstractNum w:abstractNumId="9" w15:restartNumberingAfterBreak="0">
    <w:nsid w:val="44134090"/>
    <w:multiLevelType w:val="multilevel"/>
    <w:tmpl w:val="4EB4E2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2B52E18"/>
    <w:multiLevelType w:val="multilevel"/>
    <w:tmpl w:val="146A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97E54"/>
    <w:multiLevelType w:val="multilevel"/>
    <w:tmpl w:val="84BA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30060"/>
    <w:multiLevelType w:val="multilevel"/>
    <w:tmpl w:val="4570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292B6D"/>
    <w:multiLevelType w:val="multilevel"/>
    <w:tmpl w:val="53A2F5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1662AF7"/>
    <w:multiLevelType w:val="hybridMultilevel"/>
    <w:tmpl w:val="FEC0C918"/>
    <w:lvl w:ilvl="0" w:tplc="36BAD8D4">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724B7562"/>
    <w:multiLevelType w:val="singleLevel"/>
    <w:tmpl w:val="236437B4"/>
    <w:lvl w:ilvl="0">
      <w:start w:val="2627"/>
      <w:numFmt w:val="decimal"/>
      <w:lvlText w:val="%1"/>
      <w:lvlJc w:val="left"/>
      <w:pPr>
        <w:tabs>
          <w:tab w:val="num" w:pos="1440"/>
        </w:tabs>
        <w:ind w:left="1440" w:hanging="720"/>
      </w:pPr>
      <w:rPr>
        <w:rFonts w:hint="default"/>
      </w:rPr>
    </w:lvl>
  </w:abstractNum>
  <w:num w:numId="1" w16cid:durableId="2005432646">
    <w:abstractNumId w:val="1"/>
  </w:num>
  <w:num w:numId="2" w16cid:durableId="1278440378">
    <w:abstractNumId w:val="7"/>
  </w:num>
  <w:num w:numId="3" w16cid:durableId="7654672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905340305">
    <w:abstractNumId w:val="0"/>
    <w:lvlOverride w:ilvl="0">
      <w:lvl w:ilvl="0">
        <w:start w:val="1"/>
        <w:numFmt w:val="bullet"/>
        <w:lvlText w:val=""/>
        <w:legacy w:legacy="1" w:legacySpace="0" w:legacyIndent="360"/>
        <w:lvlJc w:val="left"/>
        <w:pPr>
          <w:ind w:left="360" w:hanging="360"/>
        </w:pPr>
        <w:rPr>
          <w:rFonts w:ascii="Symbol" w:hAnsi="Symbol" w:hint="default"/>
          <w:color w:val="auto"/>
        </w:rPr>
      </w:lvl>
    </w:lvlOverride>
  </w:num>
  <w:num w:numId="5" w16cid:durableId="9893334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738554729">
    <w:abstractNumId w:val="6"/>
  </w:num>
  <w:num w:numId="7" w16cid:durableId="1247882205">
    <w:abstractNumId w:val="5"/>
  </w:num>
  <w:num w:numId="8" w16cid:durableId="512695421">
    <w:abstractNumId w:val="15"/>
  </w:num>
  <w:num w:numId="9" w16cid:durableId="1295253649">
    <w:abstractNumId w:val="8"/>
  </w:num>
  <w:num w:numId="10" w16cid:durableId="73285867">
    <w:abstractNumId w:val="14"/>
  </w:num>
  <w:num w:numId="11" w16cid:durableId="151914622">
    <w:abstractNumId w:val="13"/>
  </w:num>
  <w:num w:numId="12" w16cid:durableId="696076809">
    <w:abstractNumId w:val="10"/>
  </w:num>
  <w:num w:numId="13" w16cid:durableId="1446778008">
    <w:abstractNumId w:val="9"/>
  </w:num>
  <w:num w:numId="14" w16cid:durableId="545992763">
    <w:abstractNumId w:val="12"/>
  </w:num>
  <w:num w:numId="15" w16cid:durableId="970744538">
    <w:abstractNumId w:val="3"/>
  </w:num>
  <w:num w:numId="16" w16cid:durableId="133376197">
    <w:abstractNumId w:val="4"/>
  </w:num>
  <w:num w:numId="17" w16cid:durableId="470900784">
    <w:abstractNumId w:val="11"/>
  </w:num>
  <w:num w:numId="18" w16cid:durableId="1323658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F8"/>
    <w:rsid w:val="000024C2"/>
    <w:rsid w:val="00003480"/>
    <w:rsid w:val="000074C0"/>
    <w:rsid w:val="00011777"/>
    <w:rsid w:val="00024036"/>
    <w:rsid w:val="00026434"/>
    <w:rsid w:val="00030664"/>
    <w:rsid w:val="00034DB4"/>
    <w:rsid w:val="000424A3"/>
    <w:rsid w:val="00051934"/>
    <w:rsid w:val="00085BC9"/>
    <w:rsid w:val="00090291"/>
    <w:rsid w:val="000964BB"/>
    <w:rsid w:val="000A4569"/>
    <w:rsid w:val="000B3C0A"/>
    <w:rsid w:val="000B620A"/>
    <w:rsid w:val="000C036B"/>
    <w:rsid w:val="000C0F0D"/>
    <w:rsid w:val="000C18DF"/>
    <w:rsid w:val="000C40DB"/>
    <w:rsid w:val="000C5E39"/>
    <w:rsid w:val="000D4483"/>
    <w:rsid w:val="000E0E1F"/>
    <w:rsid w:val="000F4258"/>
    <w:rsid w:val="000F4B87"/>
    <w:rsid w:val="0010625B"/>
    <w:rsid w:val="001123D8"/>
    <w:rsid w:val="001140F8"/>
    <w:rsid w:val="00115BDA"/>
    <w:rsid w:val="00120F2C"/>
    <w:rsid w:val="00122E0A"/>
    <w:rsid w:val="00126F9E"/>
    <w:rsid w:val="00145D35"/>
    <w:rsid w:val="001466B5"/>
    <w:rsid w:val="00163A55"/>
    <w:rsid w:val="00165172"/>
    <w:rsid w:val="00166804"/>
    <w:rsid w:val="00167C45"/>
    <w:rsid w:val="0018782B"/>
    <w:rsid w:val="00193FB5"/>
    <w:rsid w:val="00194F19"/>
    <w:rsid w:val="00195D21"/>
    <w:rsid w:val="001A2396"/>
    <w:rsid w:val="001A69E4"/>
    <w:rsid w:val="001B7F76"/>
    <w:rsid w:val="001C209D"/>
    <w:rsid w:val="001D21B9"/>
    <w:rsid w:val="001E4EAD"/>
    <w:rsid w:val="001E7C36"/>
    <w:rsid w:val="001F2025"/>
    <w:rsid w:val="00211F4C"/>
    <w:rsid w:val="00214C2A"/>
    <w:rsid w:val="00227E5D"/>
    <w:rsid w:val="0023534C"/>
    <w:rsid w:val="0024602C"/>
    <w:rsid w:val="00260287"/>
    <w:rsid w:val="00277DEC"/>
    <w:rsid w:val="0028105C"/>
    <w:rsid w:val="002823F8"/>
    <w:rsid w:val="002856E1"/>
    <w:rsid w:val="00292AD3"/>
    <w:rsid w:val="0029601C"/>
    <w:rsid w:val="002A281D"/>
    <w:rsid w:val="002B0073"/>
    <w:rsid w:val="002B3BFF"/>
    <w:rsid w:val="002C6D16"/>
    <w:rsid w:val="002E1741"/>
    <w:rsid w:val="00300EA8"/>
    <w:rsid w:val="00301903"/>
    <w:rsid w:val="003056C9"/>
    <w:rsid w:val="003074CF"/>
    <w:rsid w:val="0032509C"/>
    <w:rsid w:val="0034311F"/>
    <w:rsid w:val="003450E2"/>
    <w:rsid w:val="0034665E"/>
    <w:rsid w:val="003558B0"/>
    <w:rsid w:val="00357832"/>
    <w:rsid w:val="00360137"/>
    <w:rsid w:val="0036299C"/>
    <w:rsid w:val="00363C7B"/>
    <w:rsid w:val="003773B0"/>
    <w:rsid w:val="003835CC"/>
    <w:rsid w:val="00383B50"/>
    <w:rsid w:val="003850FF"/>
    <w:rsid w:val="00385B0E"/>
    <w:rsid w:val="003866C2"/>
    <w:rsid w:val="00391527"/>
    <w:rsid w:val="003A2F2E"/>
    <w:rsid w:val="003A45B1"/>
    <w:rsid w:val="003B2F6D"/>
    <w:rsid w:val="003C2DE4"/>
    <w:rsid w:val="003D330D"/>
    <w:rsid w:val="003D7504"/>
    <w:rsid w:val="003F49DF"/>
    <w:rsid w:val="003F551A"/>
    <w:rsid w:val="003F6902"/>
    <w:rsid w:val="00404187"/>
    <w:rsid w:val="0040487A"/>
    <w:rsid w:val="00427785"/>
    <w:rsid w:val="00432447"/>
    <w:rsid w:val="00432F9A"/>
    <w:rsid w:val="00435EDC"/>
    <w:rsid w:val="00437E4F"/>
    <w:rsid w:val="00442B75"/>
    <w:rsid w:val="0046530B"/>
    <w:rsid w:val="0046552D"/>
    <w:rsid w:val="00474AA7"/>
    <w:rsid w:val="00475F7C"/>
    <w:rsid w:val="00476162"/>
    <w:rsid w:val="0048788C"/>
    <w:rsid w:val="00487F2C"/>
    <w:rsid w:val="0049761B"/>
    <w:rsid w:val="004A13F6"/>
    <w:rsid w:val="004A22AE"/>
    <w:rsid w:val="004A23A9"/>
    <w:rsid w:val="004A508A"/>
    <w:rsid w:val="004A7429"/>
    <w:rsid w:val="004B78A2"/>
    <w:rsid w:val="004C667D"/>
    <w:rsid w:val="004D1969"/>
    <w:rsid w:val="004D3FC8"/>
    <w:rsid w:val="004D5A92"/>
    <w:rsid w:val="00504224"/>
    <w:rsid w:val="005042C7"/>
    <w:rsid w:val="00506C7F"/>
    <w:rsid w:val="005145D9"/>
    <w:rsid w:val="00534675"/>
    <w:rsid w:val="0055596C"/>
    <w:rsid w:val="0057180D"/>
    <w:rsid w:val="005950A6"/>
    <w:rsid w:val="005A6285"/>
    <w:rsid w:val="005C37BC"/>
    <w:rsid w:val="005D3690"/>
    <w:rsid w:val="005D59CC"/>
    <w:rsid w:val="005D6DFB"/>
    <w:rsid w:val="005E18F0"/>
    <w:rsid w:val="005F21B3"/>
    <w:rsid w:val="005F5EC4"/>
    <w:rsid w:val="00615F70"/>
    <w:rsid w:val="00622734"/>
    <w:rsid w:val="00642AD9"/>
    <w:rsid w:val="00652638"/>
    <w:rsid w:val="00673571"/>
    <w:rsid w:val="00673B8F"/>
    <w:rsid w:val="0067539F"/>
    <w:rsid w:val="00677EC2"/>
    <w:rsid w:val="00682EAE"/>
    <w:rsid w:val="00695782"/>
    <w:rsid w:val="006A73EA"/>
    <w:rsid w:val="006A7639"/>
    <w:rsid w:val="006B0D8D"/>
    <w:rsid w:val="006C7B21"/>
    <w:rsid w:val="006D5515"/>
    <w:rsid w:val="006E677F"/>
    <w:rsid w:val="006E733B"/>
    <w:rsid w:val="006F5651"/>
    <w:rsid w:val="00704A25"/>
    <w:rsid w:val="00707907"/>
    <w:rsid w:val="00727E6B"/>
    <w:rsid w:val="007425B8"/>
    <w:rsid w:val="00745438"/>
    <w:rsid w:val="007515AF"/>
    <w:rsid w:val="007530B1"/>
    <w:rsid w:val="00754311"/>
    <w:rsid w:val="00770643"/>
    <w:rsid w:val="00772BD6"/>
    <w:rsid w:val="00776A94"/>
    <w:rsid w:val="00776D32"/>
    <w:rsid w:val="00781BDF"/>
    <w:rsid w:val="007823C4"/>
    <w:rsid w:val="00782E0F"/>
    <w:rsid w:val="00783AF0"/>
    <w:rsid w:val="007A04D5"/>
    <w:rsid w:val="007A1EEF"/>
    <w:rsid w:val="007B75A3"/>
    <w:rsid w:val="007C26BF"/>
    <w:rsid w:val="007C40E9"/>
    <w:rsid w:val="007D5EAC"/>
    <w:rsid w:val="007F3196"/>
    <w:rsid w:val="00800774"/>
    <w:rsid w:val="0080509E"/>
    <w:rsid w:val="00805B6E"/>
    <w:rsid w:val="008174CE"/>
    <w:rsid w:val="00823131"/>
    <w:rsid w:val="00824043"/>
    <w:rsid w:val="00825395"/>
    <w:rsid w:val="00833B40"/>
    <w:rsid w:val="008449F3"/>
    <w:rsid w:val="00847BC6"/>
    <w:rsid w:val="00852216"/>
    <w:rsid w:val="00853391"/>
    <w:rsid w:val="00853514"/>
    <w:rsid w:val="00855BD1"/>
    <w:rsid w:val="00864CE7"/>
    <w:rsid w:val="00871C73"/>
    <w:rsid w:val="00875218"/>
    <w:rsid w:val="008775C7"/>
    <w:rsid w:val="00893185"/>
    <w:rsid w:val="008A070C"/>
    <w:rsid w:val="008B0449"/>
    <w:rsid w:val="008B3B02"/>
    <w:rsid w:val="008B7913"/>
    <w:rsid w:val="008C0283"/>
    <w:rsid w:val="008C6656"/>
    <w:rsid w:val="008C725E"/>
    <w:rsid w:val="008D653B"/>
    <w:rsid w:val="008E0078"/>
    <w:rsid w:val="008E1AF8"/>
    <w:rsid w:val="008E70E2"/>
    <w:rsid w:val="008F1F09"/>
    <w:rsid w:val="00902087"/>
    <w:rsid w:val="0090209D"/>
    <w:rsid w:val="0090325B"/>
    <w:rsid w:val="00911782"/>
    <w:rsid w:val="0091217F"/>
    <w:rsid w:val="0091389A"/>
    <w:rsid w:val="00913BB6"/>
    <w:rsid w:val="00934EE5"/>
    <w:rsid w:val="00945C8C"/>
    <w:rsid w:val="009469AA"/>
    <w:rsid w:val="00962BE8"/>
    <w:rsid w:val="00970690"/>
    <w:rsid w:val="00975C11"/>
    <w:rsid w:val="0098217E"/>
    <w:rsid w:val="00994BDD"/>
    <w:rsid w:val="009A7042"/>
    <w:rsid w:val="009B03B3"/>
    <w:rsid w:val="009B545A"/>
    <w:rsid w:val="009C1503"/>
    <w:rsid w:val="009C6198"/>
    <w:rsid w:val="009E15BC"/>
    <w:rsid w:val="00A02A35"/>
    <w:rsid w:val="00A05792"/>
    <w:rsid w:val="00A10504"/>
    <w:rsid w:val="00A322A3"/>
    <w:rsid w:val="00A42CFE"/>
    <w:rsid w:val="00A512D5"/>
    <w:rsid w:val="00A52E75"/>
    <w:rsid w:val="00A555C4"/>
    <w:rsid w:val="00A646C4"/>
    <w:rsid w:val="00A6734B"/>
    <w:rsid w:val="00A70296"/>
    <w:rsid w:val="00A71C88"/>
    <w:rsid w:val="00A756DC"/>
    <w:rsid w:val="00A801FE"/>
    <w:rsid w:val="00A851AD"/>
    <w:rsid w:val="00A85B72"/>
    <w:rsid w:val="00A86715"/>
    <w:rsid w:val="00A95BB4"/>
    <w:rsid w:val="00A96CC5"/>
    <w:rsid w:val="00AA5F20"/>
    <w:rsid w:val="00AA7669"/>
    <w:rsid w:val="00AB5FEC"/>
    <w:rsid w:val="00AB6225"/>
    <w:rsid w:val="00AB6C26"/>
    <w:rsid w:val="00AC050D"/>
    <w:rsid w:val="00AC5490"/>
    <w:rsid w:val="00AD07A7"/>
    <w:rsid w:val="00AE2FB6"/>
    <w:rsid w:val="00AF2DA6"/>
    <w:rsid w:val="00AF3F82"/>
    <w:rsid w:val="00AF4637"/>
    <w:rsid w:val="00AF59F8"/>
    <w:rsid w:val="00AF6A0D"/>
    <w:rsid w:val="00AF6B09"/>
    <w:rsid w:val="00B00B20"/>
    <w:rsid w:val="00B04278"/>
    <w:rsid w:val="00B100B1"/>
    <w:rsid w:val="00B2338B"/>
    <w:rsid w:val="00B24F6B"/>
    <w:rsid w:val="00B50A20"/>
    <w:rsid w:val="00B755B5"/>
    <w:rsid w:val="00B7568B"/>
    <w:rsid w:val="00B76421"/>
    <w:rsid w:val="00B87E2F"/>
    <w:rsid w:val="00B97D16"/>
    <w:rsid w:val="00BA7019"/>
    <w:rsid w:val="00BC0FD2"/>
    <w:rsid w:val="00BC467D"/>
    <w:rsid w:val="00BD4E5E"/>
    <w:rsid w:val="00BF5ED5"/>
    <w:rsid w:val="00C04959"/>
    <w:rsid w:val="00C04D80"/>
    <w:rsid w:val="00C25285"/>
    <w:rsid w:val="00C5205D"/>
    <w:rsid w:val="00C57A44"/>
    <w:rsid w:val="00C723C8"/>
    <w:rsid w:val="00C7569C"/>
    <w:rsid w:val="00C7672B"/>
    <w:rsid w:val="00C830D5"/>
    <w:rsid w:val="00C93ADB"/>
    <w:rsid w:val="00CB0445"/>
    <w:rsid w:val="00CB2B5E"/>
    <w:rsid w:val="00CD0D64"/>
    <w:rsid w:val="00CD6963"/>
    <w:rsid w:val="00CE1CE1"/>
    <w:rsid w:val="00CE5C4C"/>
    <w:rsid w:val="00CE64A1"/>
    <w:rsid w:val="00CE6842"/>
    <w:rsid w:val="00CF5910"/>
    <w:rsid w:val="00D125E7"/>
    <w:rsid w:val="00D53534"/>
    <w:rsid w:val="00D557A5"/>
    <w:rsid w:val="00D600BD"/>
    <w:rsid w:val="00D61FFF"/>
    <w:rsid w:val="00D638DA"/>
    <w:rsid w:val="00D704F8"/>
    <w:rsid w:val="00D72AB2"/>
    <w:rsid w:val="00D77285"/>
    <w:rsid w:val="00D772FB"/>
    <w:rsid w:val="00D90D64"/>
    <w:rsid w:val="00D9410D"/>
    <w:rsid w:val="00DA01C4"/>
    <w:rsid w:val="00DB3818"/>
    <w:rsid w:val="00DD5FE4"/>
    <w:rsid w:val="00DE77D8"/>
    <w:rsid w:val="00E06560"/>
    <w:rsid w:val="00E23122"/>
    <w:rsid w:val="00E301BE"/>
    <w:rsid w:val="00E4197C"/>
    <w:rsid w:val="00E5031D"/>
    <w:rsid w:val="00E56EE6"/>
    <w:rsid w:val="00E572FE"/>
    <w:rsid w:val="00E6438B"/>
    <w:rsid w:val="00E70ADA"/>
    <w:rsid w:val="00E75129"/>
    <w:rsid w:val="00E75FFD"/>
    <w:rsid w:val="00E80E0C"/>
    <w:rsid w:val="00E81A14"/>
    <w:rsid w:val="00E82A9D"/>
    <w:rsid w:val="00E86375"/>
    <w:rsid w:val="00E96EAE"/>
    <w:rsid w:val="00EA5A64"/>
    <w:rsid w:val="00EB1765"/>
    <w:rsid w:val="00EB3758"/>
    <w:rsid w:val="00ED1C3C"/>
    <w:rsid w:val="00EE24C0"/>
    <w:rsid w:val="00EF4F88"/>
    <w:rsid w:val="00EF6B70"/>
    <w:rsid w:val="00F00C28"/>
    <w:rsid w:val="00F11221"/>
    <w:rsid w:val="00F1217F"/>
    <w:rsid w:val="00F1229D"/>
    <w:rsid w:val="00F142CE"/>
    <w:rsid w:val="00F26C73"/>
    <w:rsid w:val="00F4059A"/>
    <w:rsid w:val="00F477BF"/>
    <w:rsid w:val="00F532C9"/>
    <w:rsid w:val="00F55DD4"/>
    <w:rsid w:val="00F57889"/>
    <w:rsid w:val="00F604B0"/>
    <w:rsid w:val="00F618F8"/>
    <w:rsid w:val="00F720FC"/>
    <w:rsid w:val="00F75124"/>
    <w:rsid w:val="00F8588F"/>
    <w:rsid w:val="00F85B63"/>
    <w:rsid w:val="00F9030F"/>
    <w:rsid w:val="00F923D5"/>
    <w:rsid w:val="00F93749"/>
    <w:rsid w:val="00F93F7B"/>
    <w:rsid w:val="00F94B39"/>
    <w:rsid w:val="00F97EDE"/>
    <w:rsid w:val="00FC4013"/>
    <w:rsid w:val="00FC6760"/>
    <w:rsid w:val="00FD174D"/>
    <w:rsid w:val="00FD2D75"/>
    <w:rsid w:val="00FD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4C39B63D"/>
  <w15:chartTrackingRefBased/>
  <w15:docId w15:val="{09D17EF3-5A72-4683-B02A-8C088E15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ind w:right="330"/>
      <w:jc w:val="right"/>
      <w:outlineLvl w:val="4"/>
    </w:pPr>
    <w:rPr>
      <w:rFonts w:ascii="Arial" w:hAnsi="Arial"/>
      <w:b/>
      <w:snapToGrid w:val="0"/>
      <w:color w:val="000000"/>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keepNext/>
      <w:tabs>
        <w:tab w:val="left" w:pos="1440"/>
      </w:tabs>
      <w:spacing w:line="240" w:lineRule="atLeast"/>
      <w:jc w:val="both"/>
      <w:outlineLvl w:val="7"/>
    </w:pPr>
    <w:rPr>
      <w:rFonts w:ascii="Arial" w:hAnsi="Arial"/>
      <w:b/>
      <w:u w:val="single"/>
    </w:rPr>
  </w:style>
  <w:style w:type="paragraph" w:styleId="Heading9">
    <w:name w:val="heading 9"/>
    <w:basedOn w:val="Normal"/>
    <w:next w:val="Normal"/>
    <w:qFormat/>
    <w:pPr>
      <w:keepNext/>
      <w:jc w:val="center"/>
      <w:outlineLvl w:val="8"/>
    </w:pPr>
    <w:rPr>
      <w:rFonts w:ascii="Arial" w:hAnsi="Arial"/>
      <w:b/>
      <w:smallCap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240" w:lineRule="exact"/>
      <w:jc w:val="center"/>
    </w:pPr>
    <w:rPr>
      <w:b/>
      <w:sz w:val="24"/>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b/>
      <w:sz w:val="22"/>
    </w:rPr>
  </w:style>
  <w:style w:type="character" w:styleId="FollowedHyperlink">
    <w:name w:val="FollowedHyperlink"/>
    <w:rPr>
      <w:color w:val="800080"/>
      <w:u w:val="single"/>
    </w:rPr>
  </w:style>
  <w:style w:type="paragraph" w:styleId="BodyText">
    <w:name w:val="Body Text"/>
    <w:basedOn w:val="Normal"/>
    <w:rPr>
      <w:sz w:val="24"/>
    </w:rPr>
  </w:style>
  <w:style w:type="paragraph" w:styleId="BodyTextIndent">
    <w:name w:val="Body Text Indent"/>
    <w:basedOn w:val="Normal"/>
    <w:pPr>
      <w:spacing w:after="120"/>
      <w:ind w:left="360"/>
    </w:pPr>
    <w:rPr>
      <w:rFonts w:ascii="CG Times (W1)" w:hAnsi="CG Times (W1)"/>
    </w:rPr>
  </w:style>
  <w:style w:type="paragraph" w:styleId="BodyTextIndent2">
    <w:name w:val="Body Text Indent 2"/>
    <w:basedOn w:val="Normal"/>
    <w:pPr>
      <w:tabs>
        <w:tab w:val="left" w:pos="540"/>
      </w:tabs>
      <w:ind w:left="540" w:hanging="360"/>
      <w:jc w:val="both"/>
    </w:pPr>
    <w:rPr>
      <w:rFonts w:ascii="Arial" w:hAnsi="Arial"/>
      <w:sz w:val="24"/>
    </w:rPr>
  </w:style>
  <w:style w:type="paragraph" w:styleId="BodyTextIndent3">
    <w:name w:val="Body Text Indent 3"/>
    <w:basedOn w:val="Normal"/>
    <w:pPr>
      <w:spacing w:after="240" w:line="240" w:lineRule="atLeast"/>
      <w:ind w:left="2016"/>
      <w:jc w:val="both"/>
    </w:pPr>
    <w:rPr>
      <w:rFonts w:ascii="Arial" w:hAnsi="Arial"/>
    </w:rPr>
  </w:style>
  <w:style w:type="paragraph" w:styleId="BodyText2">
    <w:name w:val="Body Text 2"/>
    <w:basedOn w:val="Normal"/>
    <w:rPr>
      <w:sz w:val="22"/>
    </w:rPr>
  </w:style>
  <w:style w:type="paragraph" w:styleId="NormalWeb">
    <w:name w:val="Normal (Web)"/>
    <w:basedOn w:val="Normal"/>
    <w:rsid w:val="008174CE"/>
    <w:pPr>
      <w:spacing w:before="100" w:beforeAutospacing="1" w:after="100" w:afterAutospacing="1"/>
    </w:pPr>
    <w:rPr>
      <w:sz w:val="24"/>
      <w:szCs w:val="24"/>
    </w:rPr>
  </w:style>
  <w:style w:type="paragraph" w:styleId="BalloonText">
    <w:name w:val="Balloon Text"/>
    <w:basedOn w:val="Normal"/>
    <w:link w:val="BalloonTextChar"/>
    <w:rsid w:val="000C036B"/>
    <w:rPr>
      <w:rFonts w:ascii="Tahoma" w:hAnsi="Tahoma" w:cs="Tahoma"/>
      <w:sz w:val="16"/>
      <w:szCs w:val="16"/>
    </w:rPr>
  </w:style>
  <w:style w:type="character" w:customStyle="1" w:styleId="BalloonTextChar">
    <w:name w:val="Balloon Text Char"/>
    <w:link w:val="BalloonText"/>
    <w:rsid w:val="000C036B"/>
    <w:rPr>
      <w:rFonts w:ascii="Tahoma" w:hAnsi="Tahoma" w:cs="Tahoma"/>
      <w:sz w:val="16"/>
      <w:szCs w:val="16"/>
    </w:rPr>
  </w:style>
  <w:style w:type="character" w:styleId="UnresolvedMention">
    <w:name w:val="Unresolved Mention"/>
    <w:basedOn w:val="DefaultParagraphFont"/>
    <w:uiPriority w:val="99"/>
    <w:semiHidden/>
    <w:unhideWhenUsed/>
    <w:rsid w:val="0018782B"/>
    <w:rPr>
      <w:color w:val="605E5C"/>
      <w:shd w:val="clear" w:color="auto" w:fill="E1DFDD"/>
    </w:rPr>
  </w:style>
  <w:style w:type="paragraph" w:styleId="ListParagraph">
    <w:name w:val="List Paragraph"/>
    <w:basedOn w:val="Normal"/>
    <w:uiPriority w:val="34"/>
    <w:qFormat/>
    <w:rsid w:val="005D6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7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connect.sharepoint.com/sites/CAFR" TargetMode="External"/><Relationship Id="rId13" Type="http://schemas.openxmlformats.org/officeDocument/2006/relationships/hyperlink" Target="https://ncconnect.sharepoint.com/sites/CAF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ohn.krellner@osc.nc.gov" TargetMode="External"/><Relationship Id="rId12" Type="http://schemas.openxmlformats.org/officeDocument/2006/relationships/hyperlink" Target="https://ncconnect.sharepoint.com/sites/CA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connect.sharepoint.com/sites/CA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osc.nc.gov/state-agency-resources/north-carolina-accounting-system-ncas/statewide-financial-reporting/gasb-resources/gasb-87" TargetMode="External"/><Relationship Id="rId14" Type="http://schemas.openxmlformats.org/officeDocument/2006/relationships/hyperlink" Target="mailto:john.krellner@osc.nc.go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13</Pages>
  <Words>6277</Words>
  <Characters>35197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OFFICE  OF  THE   STATE  CONTROLLER</vt:lpstr>
    </vt:vector>
  </TitlesOfParts>
  <Company>North Carolina</Company>
  <LinksUpToDate>false</LinksUpToDate>
  <CharactersWithSpaces>41392</CharactersWithSpaces>
  <SharedDoc>false</SharedDoc>
  <HLinks>
    <vt:vector size="24" baseType="variant">
      <vt:variant>
        <vt:i4>2031677</vt:i4>
      </vt:variant>
      <vt:variant>
        <vt:i4>9</vt:i4>
      </vt:variant>
      <vt:variant>
        <vt:i4>0</vt:i4>
      </vt:variant>
      <vt:variant>
        <vt:i4>5</vt:i4>
      </vt:variant>
      <vt:variant>
        <vt:lpwstr>mailto:virginia.sisson@osc.nc.gov</vt:lpwstr>
      </vt:variant>
      <vt:variant>
        <vt:lpwstr/>
      </vt:variant>
      <vt:variant>
        <vt:i4>1638433</vt:i4>
      </vt:variant>
      <vt:variant>
        <vt:i4>6</vt:i4>
      </vt:variant>
      <vt:variant>
        <vt:i4>0</vt:i4>
      </vt:variant>
      <vt:variant>
        <vt:i4>5</vt:i4>
      </vt:variant>
      <vt:variant>
        <vt:lpwstr>mailto:martha.hunt@osc.nc.gov</vt:lpwstr>
      </vt:variant>
      <vt:variant>
        <vt:lpwstr/>
      </vt:variant>
      <vt:variant>
        <vt:i4>2031677</vt:i4>
      </vt:variant>
      <vt:variant>
        <vt:i4>3</vt:i4>
      </vt:variant>
      <vt:variant>
        <vt:i4>0</vt:i4>
      </vt:variant>
      <vt:variant>
        <vt:i4>5</vt:i4>
      </vt:variant>
      <vt:variant>
        <vt:lpwstr>mailto:virginia.sisson@osc.nc.gov</vt:lpwstr>
      </vt:variant>
      <vt:variant>
        <vt:lpwstr/>
      </vt:variant>
      <vt:variant>
        <vt:i4>1638433</vt:i4>
      </vt:variant>
      <vt:variant>
        <vt:i4>0</vt:i4>
      </vt:variant>
      <vt:variant>
        <vt:i4>0</vt:i4>
      </vt:variant>
      <vt:variant>
        <vt:i4>5</vt:i4>
      </vt:variant>
      <vt:variant>
        <vt:lpwstr>mailto:martha.hunt@osc.nc.gov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CONTROLLER</dc:title>
  <dc:subject/>
  <dc:creator>install</dc:creator>
  <cp:keywords/>
  <cp:lastModifiedBy>Battle, Kim R</cp:lastModifiedBy>
  <cp:revision>127</cp:revision>
  <cp:lastPrinted>2019-04-25T19:05:00Z</cp:lastPrinted>
  <dcterms:created xsi:type="dcterms:W3CDTF">2019-02-19T21:14:00Z</dcterms:created>
  <dcterms:modified xsi:type="dcterms:W3CDTF">2022-05-26T20:11:00Z</dcterms:modified>
</cp:coreProperties>
</file>